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DA317" w14:textId="00EF3BD2" w:rsidR="00866128" w:rsidRPr="003E679A" w:rsidRDefault="00866128" w:rsidP="008740C5">
      <w:pPr>
        <w:widowControl w:val="0"/>
        <w:tabs>
          <w:tab w:val="left" w:pos="4678"/>
        </w:tabs>
        <w:suppressAutoHyphens/>
        <w:spacing w:after="0" w:line="200" w:lineRule="exact"/>
        <w:ind w:right="-119"/>
        <w:jc w:val="left"/>
        <w:rPr>
          <w:rFonts w:ascii="Arial Narrow" w:eastAsia="MS Mincho" w:hAnsi="Arial Narrow" w:cs="Arial"/>
          <w:bCs/>
          <w:color w:val="000000"/>
          <w:lang w:eastAsia="ar-SA"/>
        </w:rPr>
      </w:pPr>
      <w:r w:rsidRPr="003E679A">
        <w:rPr>
          <w:rFonts w:ascii="Arial Narrow" w:eastAsia="MS Mincho" w:hAnsi="Arial Narrow" w:cs="Arial"/>
          <w:bCs/>
          <w:color w:val="000000"/>
          <w:lang w:eastAsia="ar-SA"/>
        </w:rPr>
        <w:t xml:space="preserve">Paris, </w:t>
      </w:r>
      <w:r w:rsidR="009113BD" w:rsidRPr="003E679A">
        <w:rPr>
          <w:rFonts w:ascii="Arial Narrow" w:eastAsia="MS Mincho" w:hAnsi="Arial Narrow" w:cs="Arial"/>
          <w:bCs/>
          <w:color w:val="000000"/>
          <w:lang w:eastAsia="ar-SA"/>
        </w:rPr>
        <w:t>23 April 2020</w:t>
      </w:r>
      <w:r w:rsidR="000A758E" w:rsidRPr="003E679A">
        <w:rPr>
          <w:rFonts w:ascii="Arial Narrow" w:eastAsia="MS Mincho" w:hAnsi="Arial Narrow" w:cs="Arial"/>
          <w:bCs/>
          <w:color w:val="000000"/>
          <w:lang w:eastAsia="ar-SA"/>
        </w:rPr>
        <w:t xml:space="preserve"> </w:t>
      </w:r>
      <w:r w:rsidR="002C3F4A" w:rsidRPr="003E679A">
        <w:rPr>
          <w:rFonts w:ascii="Arial Narrow" w:eastAsia="MS Mincho" w:hAnsi="Arial Narrow" w:cs="Arial"/>
          <w:bCs/>
          <w:color w:val="000000"/>
          <w:lang w:eastAsia="ar-SA"/>
        </w:rPr>
        <w:t>–</w:t>
      </w:r>
      <w:r w:rsidR="00D52A4A" w:rsidRPr="003E679A">
        <w:rPr>
          <w:rFonts w:ascii="Arial Narrow" w:eastAsia="MS Mincho" w:hAnsi="Arial Narrow" w:cs="Arial"/>
          <w:bCs/>
          <w:color w:val="000000"/>
          <w:lang w:eastAsia="ar-SA"/>
        </w:rPr>
        <w:t xml:space="preserve"> </w:t>
      </w:r>
      <w:r w:rsidR="008F7787" w:rsidRPr="003E679A">
        <w:rPr>
          <w:rFonts w:ascii="Arial Narrow" w:eastAsia="MS Mincho" w:hAnsi="Arial Narrow" w:cs="Arial"/>
          <w:bCs/>
          <w:color w:val="000000"/>
          <w:lang w:eastAsia="ar-SA"/>
        </w:rPr>
        <w:t>1</w:t>
      </w:r>
      <w:r w:rsidR="00C064C3" w:rsidRPr="003E679A">
        <w:rPr>
          <w:rFonts w:ascii="Arial Narrow" w:eastAsia="MS Mincho" w:hAnsi="Arial Narrow" w:cs="Arial"/>
          <w:bCs/>
          <w:color w:val="000000"/>
          <w:lang w:eastAsia="ar-SA"/>
        </w:rPr>
        <w:t>7</w:t>
      </w:r>
      <w:r w:rsidR="00F7596B" w:rsidRPr="003E679A">
        <w:rPr>
          <w:rFonts w:ascii="Arial Narrow" w:eastAsia="MS Mincho" w:hAnsi="Arial Narrow" w:cs="Arial"/>
          <w:bCs/>
          <w:color w:val="000000"/>
          <w:lang w:eastAsia="ar-SA"/>
        </w:rPr>
        <w:t>:</w:t>
      </w:r>
      <w:r w:rsidR="00C064C3" w:rsidRPr="003E679A">
        <w:rPr>
          <w:rFonts w:ascii="Arial Narrow" w:eastAsia="MS Mincho" w:hAnsi="Arial Narrow" w:cs="Arial"/>
          <w:bCs/>
          <w:color w:val="000000"/>
          <w:lang w:eastAsia="ar-SA"/>
        </w:rPr>
        <w:t>35</w:t>
      </w:r>
    </w:p>
    <w:p w14:paraId="6E166F7C" w14:textId="54868F0F" w:rsidR="00BF24FF" w:rsidRPr="003E679A" w:rsidRDefault="009E3A4A" w:rsidP="008740C5">
      <w:pPr>
        <w:widowControl w:val="0"/>
        <w:spacing w:before="120" w:after="120" w:line="240" w:lineRule="auto"/>
        <w:ind w:right="-119"/>
        <w:jc w:val="left"/>
        <w:rPr>
          <w:rFonts w:ascii="Arial Narrow" w:eastAsia="MS Mincho" w:hAnsi="Arial Narrow" w:cs="Arial"/>
          <w:b/>
          <w:bCs/>
          <w:sz w:val="28"/>
          <w:szCs w:val="26"/>
          <w:lang w:eastAsia="ar-SA"/>
        </w:rPr>
      </w:pPr>
      <w:r w:rsidRPr="003E679A">
        <w:rPr>
          <w:rFonts w:ascii="Arial Narrow" w:eastAsia="MS Mincho" w:hAnsi="Arial Narrow" w:cs="Arial"/>
          <w:b/>
          <w:bCs/>
          <w:sz w:val="28"/>
          <w:szCs w:val="26"/>
          <w:lang w:eastAsia="ar-SA"/>
        </w:rPr>
        <w:t>First quarter shows solid</w:t>
      </w:r>
      <w:r w:rsidR="00267D24" w:rsidRPr="003E679A">
        <w:rPr>
          <w:rFonts w:ascii="Arial Narrow" w:eastAsia="MS Mincho" w:hAnsi="Arial Narrow" w:cs="Arial"/>
          <w:b/>
          <w:bCs/>
          <w:sz w:val="28"/>
          <w:szCs w:val="26"/>
          <w:lang w:eastAsia="ar-SA"/>
        </w:rPr>
        <w:t xml:space="preserve"> </w:t>
      </w:r>
      <w:r w:rsidR="00A609F6" w:rsidRPr="003E679A">
        <w:rPr>
          <w:rFonts w:ascii="Arial Narrow" w:eastAsia="MS Mincho" w:hAnsi="Arial Narrow" w:cs="Arial"/>
          <w:b/>
          <w:bCs/>
          <w:sz w:val="28"/>
          <w:szCs w:val="26"/>
          <w:lang w:eastAsia="ar-SA"/>
        </w:rPr>
        <w:t xml:space="preserve">operational performance </w:t>
      </w:r>
      <w:r w:rsidR="0072348D" w:rsidRPr="003E679A">
        <w:rPr>
          <w:rFonts w:ascii="Arial Narrow" w:eastAsia="MS Mincho" w:hAnsi="Arial Narrow" w:cs="Arial"/>
          <w:b/>
          <w:bCs/>
          <w:sz w:val="28"/>
          <w:szCs w:val="26"/>
          <w:lang w:eastAsia="ar-SA"/>
        </w:rPr>
        <w:t>but</w:t>
      </w:r>
      <w:r w:rsidRPr="003E679A">
        <w:rPr>
          <w:rFonts w:ascii="Arial Narrow" w:eastAsia="MS Mincho" w:hAnsi="Arial Narrow" w:cs="Arial"/>
          <w:b/>
          <w:bCs/>
          <w:sz w:val="28"/>
          <w:szCs w:val="26"/>
          <w:lang w:eastAsia="ar-SA"/>
        </w:rPr>
        <w:t xml:space="preserve"> is</w:t>
      </w:r>
      <w:r w:rsidR="00A609F6" w:rsidRPr="003E679A">
        <w:rPr>
          <w:rFonts w:ascii="Arial Narrow" w:eastAsia="MS Mincho" w:hAnsi="Arial Narrow" w:cs="Arial"/>
          <w:b/>
          <w:bCs/>
          <w:sz w:val="28"/>
          <w:szCs w:val="26"/>
          <w:lang w:eastAsia="ar-SA"/>
        </w:rPr>
        <w:t xml:space="preserve"> </w:t>
      </w:r>
      <w:r w:rsidR="00267D24" w:rsidRPr="003E679A">
        <w:rPr>
          <w:rFonts w:ascii="Arial Narrow" w:eastAsia="MS Mincho" w:hAnsi="Arial Narrow" w:cs="Arial"/>
          <w:b/>
          <w:bCs/>
          <w:sz w:val="28"/>
          <w:szCs w:val="26"/>
          <w:lang w:eastAsia="ar-SA"/>
        </w:rPr>
        <w:t xml:space="preserve">impacted by the </w:t>
      </w:r>
      <w:r w:rsidR="00CC6422" w:rsidRPr="003E679A">
        <w:rPr>
          <w:rFonts w:ascii="Arial Narrow" w:eastAsia="MS Mincho" w:hAnsi="Arial Narrow" w:cs="Arial"/>
          <w:b/>
          <w:bCs/>
          <w:sz w:val="28"/>
          <w:szCs w:val="26"/>
          <w:lang w:eastAsia="ar-SA"/>
        </w:rPr>
        <w:t xml:space="preserve">initial </w:t>
      </w:r>
      <w:r w:rsidR="00A609F6" w:rsidRPr="003E679A">
        <w:rPr>
          <w:rFonts w:ascii="Arial Narrow" w:eastAsia="MS Mincho" w:hAnsi="Arial Narrow" w:cs="Arial"/>
          <w:b/>
          <w:bCs/>
          <w:sz w:val="28"/>
          <w:szCs w:val="26"/>
          <w:lang w:eastAsia="ar-SA"/>
        </w:rPr>
        <w:t xml:space="preserve">effects of the </w:t>
      </w:r>
      <w:r w:rsidR="00CC6422" w:rsidRPr="003E679A">
        <w:rPr>
          <w:rFonts w:ascii="Arial Narrow" w:eastAsia="MS Mincho" w:hAnsi="Arial Narrow" w:cs="Arial"/>
          <w:b/>
          <w:bCs/>
          <w:sz w:val="28"/>
          <w:szCs w:val="26"/>
          <w:lang w:eastAsia="ar-SA"/>
        </w:rPr>
        <w:t xml:space="preserve">COVID-19 </w:t>
      </w:r>
      <w:r w:rsidR="00A609F6" w:rsidRPr="003E679A">
        <w:rPr>
          <w:rFonts w:ascii="Arial Narrow" w:eastAsia="MS Mincho" w:hAnsi="Arial Narrow" w:cs="Arial"/>
          <w:b/>
          <w:bCs/>
          <w:sz w:val="28"/>
          <w:szCs w:val="26"/>
          <w:lang w:eastAsia="ar-SA"/>
        </w:rPr>
        <w:t>crisis</w:t>
      </w:r>
    </w:p>
    <w:p w14:paraId="6DBFE8D9" w14:textId="77777777" w:rsidR="00032A36" w:rsidRPr="003E679A" w:rsidRDefault="00A609F6" w:rsidP="008740C5">
      <w:pPr>
        <w:numPr>
          <w:ilvl w:val="0"/>
          <w:numId w:val="15"/>
        </w:numPr>
        <w:tabs>
          <w:tab w:val="clear" w:pos="720"/>
          <w:tab w:val="num" w:pos="284"/>
          <w:tab w:val="num" w:pos="3600"/>
        </w:tabs>
        <w:spacing w:before="60" w:after="100" w:afterAutospacing="1"/>
        <w:ind w:left="714" w:hanging="714"/>
        <w:rPr>
          <w:rFonts w:ascii="Arial Narrow" w:eastAsia="MS Mincho" w:hAnsi="Arial Narrow" w:cs="Arial"/>
          <w:b/>
          <w:bCs/>
          <w:lang w:eastAsia="ar-SA"/>
        </w:rPr>
      </w:pPr>
      <w:r w:rsidRPr="003E679A">
        <w:rPr>
          <w:rFonts w:ascii="Arial Narrow" w:eastAsia="MS Mincho" w:hAnsi="Arial Narrow" w:cs="Arial"/>
          <w:b/>
          <w:bCs/>
          <w:lang w:eastAsia="ar-SA"/>
        </w:rPr>
        <w:t>Turnover: €370m, up 0.9% at constant FX and perimeter</w:t>
      </w:r>
    </w:p>
    <w:p w14:paraId="7654AFF6" w14:textId="77777777" w:rsidR="00A609F6" w:rsidRPr="00E83EC2" w:rsidRDefault="00A609F6" w:rsidP="00A609F6">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Record client retention and strong new business momentum prior to lockdown</w:t>
      </w:r>
    </w:p>
    <w:p w14:paraId="29EF5632" w14:textId="77777777" w:rsidR="00A609F6" w:rsidRPr="00E83EC2" w:rsidRDefault="00A609F6" w:rsidP="00A609F6">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Continued slowdown in client activities - a trend that is expected to accelerate over the coming quarters</w:t>
      </w:r>
    </w:p>
    <w:p w14:paraId="5DCA904F" w14:textId="77777777" w:rsidR="00A609F6" w:rsidRPr="00E83EC2" w:rsidRDefault="00A609F6" w:rsidP="00A609F6">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Trade Credit Insurance growing at 0.2% at constant FX and perimeters</w:t>
      </w:r>
    </w:p>
    <w:p w14:paraId="3F0EFFDD" w14:textId="7D14FEF1" w:rsidR="0019304D" w:rsidRPr="00E83EC2" w:rsidRDefault="00A609F6" w:rsidP="00A609F6">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 xml:space="preserve">Dynamic growth </w:t>
      </w:r>
      <w:r w:rsidR="009E3A4A">
        <w:rPr>
          <w:rFonts w:ascii="Arial Narrow" w:hAnsi="Arial Narrow" w:cs="Arial"/>
          <w:bCs/>
          <w:lang w:val="en-GB" w:eastAsia="ar-SA"/>
        </w:rPr>
        <w:t>of</w:t>
      </w:r>
      <w:r w:rsidRPr="00E83EC2">
        <w:rPr>
          <w:rFonts w:ascii="Arial Narrow" w:hAnsi="Arial Narrow" w:cs="Arial"/>
          <w:bCs/>
          <w:lang w:val="en-GB" w:eastAsia="ar-SA"/>
        </w:rPr>
        <w:t xml:space="preserve"> services, up 12%</w:t>
      </w:r>
    </w:p>
    <w:p w14:paraId="3D7AA0F8" w14:textId="7F7691C7" w:rsidR="00E83EC2" w:rsidRPr="003E679A" w:rsidRDefault="00E83EC2" w:rsidP="008740C5">
      <w:pPr>
        <w:numPr>
          <w:ilvl w:val="0"/>
          <w:numId w:val="15"/>
        </w:numPr>
        <w:tabs>
          <w:tab w:val="clear" w:pos="720"/>
          <w:tab w:val="num" w:pos="284"/>
          <w:tab w:val="num" w:pos="3600"/>
        </w:tabs>
        <w:spacing w:before="60" w:after="100" w:afterAutospacing="1"/>
        <w:ind w:left="714" w:hanging="714"/>
        <w:rPr>
          <w:rFonts w:ascii="Arial Narrow" w:eastAsia="MS Mincho" w:hAnsi="Arial Narrow" w:cs="Arial"/>
          <w:b/>
          <w:bCs/>
          <w:lang w:eastAsia="ar-SA"/>
        </w:rPr>
      </w:pPr>
      <w:r w:rsidRPr="003E679A">
        <w:rPr>
          <w:rFonts w:ascii="Arial Narrow" w:eastAsia="MS Mincho" w:hAnsi="Arial Narrow" w:cs="Arial"/>
          <w:b/>
          <w:bCs/>
          <w:lang w:eastAsia="ar-SA"/>
        </w:rPr>
        <w:t>Net loss ratio of 57.1%, up by 14.5</w:t>
      </w:r>
      <w:r w:rsidR="00E975E0" w:rsidRPr="003E679A">
        <w:rPr>
          <w:rFonts w:ascii="Arial Narrow" w:eastAsia="MS Mincho" w:hAnsi="Arial Narrow" w:cs="Arial"/>
          <w:b/>
          <w:bCs/>
          <w:lang w:eastAsia="ar-SA"/>
        </w:rPr>
        <w:t xml:space="preserve"> </w:t>
      </w:r>
      <w:r w:rsidR="00FD5CEB" w:rsidRPr="003E679A">
        <w:rPr>
          <w:rFonts w:ascii="Arial Narrow" w:eastAsia="MS Mincho" w:hAnsi="Arial Narrow" w:cs="Arial"/>
          <w:b/>
          <w:bCs/>
          <w:lang w:eastAsia="ar-SA"/>
        </w:rPr>
        <w:t>pp</w:t>
      </w:r>
      <w:r w:rsidR="00E975E0" w:rsidRPr="003E679A">
        <w:rPr>
          <w:rFonts w:ascii="Arial Narrow" w:eastAsia="MS Mincho" w:hAnsi="Arial Narrow" w:cs="Arial"/>
          <w:b/>
          <w:bCs/>
          <w:lang w:eastAsia="ar-SA"/>
        </w:rPr>
        <w:t>ts.</w:t>
      </w:r>
      <w:r w:rsidRPr="003E679A">
        <w:rPr>
          <w:rFonts w:ascii="Arial Narrow" w:eastAsia="MS Mincho" w:hAnsi="Arial Narrow" w:cs="Arial"/>
          <w:b/>
          <w:bCs/>
          <w:lang w:eastAsia="ar-SA"/>
        </w:rPr>
        <w:t>; net combined ratio at 86.8%</w:t>
      </w:r>
    </w:p>
    <w:p w14:paraId="247E2236" w14:textId="3233A77B" w:rsidR="00E83EC2" w:rsidRPr="00E83EC2" w:rsidRDefault="00E83EC2" w:rsidP="00E83EC2">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Gross loss ratio (55.</w:t>
      </w:r>
      <w:r w:rsidR="0072348D">
        <w:rPr>
          <w:rFonts w:ascii="Arial Narrow" w:hAnsi="Arial Narrow" w:cs="Arial"/>
          <w:bCs/>
          <w:lang w:val="en-GB" w:eastAsia="ar-SA"/>
        </w:rPr>
        <w:t>2</w:t>
      </w:r>
      <w:r w:rsidRPr="00E83EC2">
        <w:rPr>
          <w:rFonts w:ascii="Arial Narrow" w:hAnsi="Arial Narrow" w:cs="Arial"/>
          <w:bCs/>
          <w:lang w:val="en-GB" w:eastAsia="ar-SA"/>
        </w:rPr>
        <w:t>%) affected by the impact of large claims (9%) unrelated to the current crisis</w:t>
      </w:r>
      <w:r w:rsidR="00CC6422">
        <w:rPr>
          <w:rFonts w:ascii="Arial Narrow" w:hAnsi="Arial Narrow" w:cs="Arial"/>
          <w:bCs/>
          <w:lang w:val="en-GB" w:eastAsia="ar-SA"/>
        </w:rPr>
        <w:t>,</w:t>
      </w:r>
      <w:r w:rsidRPr="00E83EC2">
        <w:rPr>
          <w:rFonts w:ascii="Arial Narrow" w:hAnsi="Arial Narrow" w:cs="Arial"/>
          <w:bCs/>
          <w:lang w:val="en-GB" w:eastAsia="ar-SA"/>
        </w:rPr>
        <w:t xml:space="preserve"> and by an increase in claims expected for 2020</w:t>
      </w:r>
    </w:p>
    <w:p w14:paraId="15F33C79" w14:textId="34AE4EEB" w:rsidR="00E83EC2" w:rsidRPr="00E83EC2" w:rsidRDefault="00E83EC2" w:rsidP="00E83EC2">
      <w:pPr>
        <w:numPr>
          <w:ilvl w:val="1"/>
          <w:numId w:val="15"/>
        </w:numPr>
        <w:tabs>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Net cost ratio at 29.7%</w:t>
      </w:r>
      <w:r w:rsidR="00CC6422">
        <w:rPr>
          <w:rFonts w:ascii="Arial Narrow" w:hAnsi="Arial Narrow" w:cs="Arial"/>
          <w:bCs/>
          <w:lang w:val="en-GB" w:eastAsia="ar-SA"/>
        </w:rPr>
        <w:t xml:space="preserve"> – </w:t>
      </w:r>
      <w:r w:rsidRPr="00E83EC2">
        <w:rPr>
          <w:rFonts w:ascii="Arial Narrow" w:hAnsi="Arial Narrow" w:cs="Arial"/>
          <w:bCs/>
          <w:lang w:val="en-GB" w:eastAsia="ar-SA"/>
        </w:rPr>
        <w:t>an improvement of 2.2</w:t>
      </w:r>
      <w:r w:rsidR="00E975E0">
        <w:rPr>
          <w:rFonts w:ascii="Arial Narrow" w:hAnsi="Arial Narrow" w:cs="Arial"/>
          <w:bCs/>
          <w:lang w:val="en-GB" w:eastAsia="ar-SA"/>
        </w:rPr>
        <w:t xml:space="preserve"> </w:t>
      </w:r>
      <w:r w:rsidRPr="00E83EC2">
        <w:rPr>
          <w:rFonts w:ascii="Arial Narrow" w:hAnsi="Arial Narrow" w:cs="Arial"/>
          <w:bCs/>
          <w:lang w:val="en-GB" w:eastAsia="ar-SA"/>
        </w:rPr>
        <w:t>pp</w:t>
      </w:r>
      <w:r w:rsidR="00E975E0">
        <w:rPr>
          <w:rFonts w:ascii="Arial Narrow" w:hAnsi="Arial Narrow" w:cs="Arial"/>
          <w:bCs/>
          <w:lang w:val="en-GB" w:eastAsia="ar-SA"/>
        </w:rPr>
        <w:t>ts.</w:t>
      </w:r>
      <w:r w:rsidRPr="00E83EC2">
        <w:rPr>
          <w:rFonts w:ascii="Arial Narrow" w:hAnsi="Arial Narrow" w:cs="Arial"/>
          <w:bCs/>
          <w:lang w:val="en-GB" w:eastAsia="ar-SA"/>
        </w:rPr>
        <w:t xml:space="preserve"> compared to 31.9% for Q1-2019</w:t>
      </w:r>
      <w:r w:rsidR="00CC6422">
        <w:rPr>
          <w:rFonts w:ascii="Arial Narrow" w:hAnsi="Arial Narrow" w:cs="Arial"/>
          <w:bCs/>
          <w:lang w:val="en-GB" w:eastAsia="ar-SA"/>
        </w:rPr>
        <w:t xml:space="preserve"> – thanks </w:t>
      </w:r>
      <w:r w:rsidRPr="00E83EC2">
        <w:rPr>
          <w:rFonts w:ascii="Arial Narrow" w:hAnsi="Arial Narrow" w:cs="Arial"/>
          <w:bCs/>
          <w:lang w:val="en-GB" w:eastAsia="ar-SA"/>
        </w:rPr>
        <w:t>to strict cost management</w:t>
      </w:r>
    </w:p>
    <w:p w14:paraId="2F63B30B" w14:textId="38CFBDF3" w:rsidR="00E83EC2" w:rsidRPr="00E83EC2" w:rsidRDefault="00E83EC2" w:rsidP="00E83EC2">
      <w:pPr>
        <w:numPr>
          <w:ilvl w:val="1"/>
          <w:numId w:val="15"/>
        </w:numPr>
        <w:tabs>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Net combined ratio at 86.8% for Q1-2020, up by 12.3</w:t>
      </w:r>
      <w:r w:rsidR="00E975E0">
        <w:rPr>
          <w:rFonts w:ascii="Arial Narrow" w:hAnsi="Arial Narrow" w:cs="Arial"/>
          <w:bCs/>
          <w:lang w:val="en-GB" w:eastAsia="ar-SA"/>
        </w:rPr>
        <w:t xml:space="preserve"> </w:t>
      </w:r>
      <w:r w:rsidRPr="00E83EC2">
        <w:rPr>
          <w:rFonts w:ascii="Arial Narrow" w:hAnsi="Arial Narrow" w:cs="Arial"/>
          <w:bCs/>
          <w:lang w:val="en-GB" w:eastAsia="ar-SA"/>
        </w:rPr>
        <w:t>pp</w:t>
      </w:r>
      <w:r w:rsidR="00E975E0">
        <w:rPr>
          <w:rFonts w:ascii="Arial Narrow" w:hAnsi="Arial Narrow" w:cs="Arial"/>
          <w:bCs/>
          <w:lang w:val="en-GB" w:eastAsia="ar-SA"/>
        </w:rPr>
        <w:t>ts.</w:t>
      </w:r>
      <w:r w:rsidRPr="00E83EC2">
        <w:rPr>
          <w:rFonts w:ascii="Arial Narrow" w:hAnsi="Arial Narrow" w:cs="Arial"/>
          <w:bCs/>
          <w:lang w:val="en-GB" w:eastAsia="ar-SA"/>
        </w:rPr>
        <w:t xml:space="preserve"> over one year</w:t>
      </w:r>
    </w:p>
    <w:p w14:paraId="1ED8729B" w14:textId="2D01ACA2" w:rsidR="00E83EC2" w:rsidRPr="003E679A" w:rsidRDefault="00E83EC2" w:rsidP="008740C5">
      <w:pPr>
        <w:numPr>
          <w:ilvl w:val="0"/>
          <w:numId w:val="15"/>
        </w:numPr>
        <w:tabs>
          <w:tab w:val="clear" w:pos="720"/>
          <w:tab w:val="num" w:pos="284"/>
          <w:tab w:val="num" w:pos="3600"/>
        </w:tabs>
        <w:spacing w:before="60" w:after="100" w:afterAutospacing="1"/>
        <w:ind w:left="714" w:hanging="714"/>
        <w:rPr>
          <w:rFonts w:ascii="Arial Narrow" w:eastAsia="MS Mincho" w:hAnsi="Arial Narrow" w:cs="Arial"/>
          <w:b/>
          <w:bCs/>
          <w:lang w:eastAsia="ar-SA"/>
        </w:rPr>
      </w:pPr>
      <w:r w:rsidRPr="003E679A">
        <w:rPr>
          <w:rFonts w:ascii="Arial Narrow" w:eastAsia="MS Mincho" w:hAnsi="Arial Narrow" w:cs="Arial"/>
          <w:b/>
          <w:bCs/>
          <w:lang w:eastAsia="ar-SA"/>
        </w:rPr>
        <w:t xml:space="preserve">Net income (group share) of €12.7m and </w:t>
      </w:r>
      <w:proofErr w:type="spellStart"/>
      <w:r w:rsidRPr="003E679A">
        <w:rPr>
          <w:rFonts w:ascii="Arial Narrow" w:eastAsia="MS Mincho" w:hAnsi="Arial Narrow" w:cs="Arial"/>
          <w:b/>
          <w:bCs/>
          <w:lang w:eastAsia="ar-SA"/>
        </w:rPr>
        <w:t>annualised</w:t>
      </w:r>
      <w:proofErr w:type="spellEnd"/>
      <w:r w:rsidRPr="003E679A">
        <w:rPr>
          <w:rFonts w:ascii="Arial Narrow" w:eastAsia="MS Mincho" w:hAnsi="Arial Narrow" w:cs="Arial"/>
          <w:b/>
          <w:bCs/>
          <w:lang w:eastAsia="ar-SA"/>
        </w:rPr>
        <w:t xml:space="preserve"> RoATE</w:t>
      </w:r>
      <w:r w:rsidR="008740C5" w:rsidRPr="003E679A">
        <w:rPr>
          <w:rFonts w:ascii="Arial Narrow" w:eastAsia="MS Mincho" w:hAnsi="Arial Narrow" w:cs="Arial"/>
          <w:b/>
          <w:bCs/>
          <w:lang w:eastAsia="ar-SA"/>
        </w:rPr>
        <w:t>*</w:t>
      </w:r>
      <w:r w:rsidR="00297CDE" w:rsidRPr="003E679A">
        <w:rPr>
          <w:rFonts w:ascii="Arial Narrow" w:eastAsia="MS Mincho" w:hAnsi="Arial Narrow" w:cs="Arial"/>
          <w:b/>
          <w:bCs/>
          <w:lang w:eastAsia="ar-SA"/>
        </w:rPr>
        <w:t xml:space="preserve"> of 3.0</w:t>
      </w:r>
      <w:r w:rsidRPr="003E679A">
        <w:rPr>
          <w:rFonts w:ascii="Arial Narrow" w:eastAsia="MS Mincho" w:hAnsi="Arial Narrow" w:cs="Arial"/>
          <w:b/>
          <w:bCs/>
          <w:lang w:eastAsia="ar-SA"/>
        </w:rPr>
        <w:t>%</w:t>
      </w:r>
    </w:p>
    <w:p w14:paraId="11FF1A96" w14:textId="77777777" w:rsidR="008740C5" w:rsidRPr="008740C5" w:rsidRDefault="008740C5" w:rsidP="008740C5">
      <w:pPr>
        <w:numPr>
          <w:ilvl w:val="0"/>
          <w:numId w:val="15"/>
        </w:numPr>
        <w:tabs>
          <w:tab w:val="clear" w:pos="720"/>
          <w:tab w:val="num" w:pos="284"/>
          <w:tab w:val="num" w:pos="3600"/>
        </w:tabs>
        <w:spacing w:before="60" w:after="100" w:afterAutospacing="1"/>
        <w:ind w:left="714" w:hanging="714"/>
        <w:rPr>
          <w:rFonts w:ascii="Arial Narrow" w:eastAsia="MS Mincho" w:hAnsi="Arial Narrow" w:cs="Arial"/>
          <w:b/>
          <w:bCs/>
          <w:lang w:val="en-GB" w:eastAsia="ar-SA"/>
        </w:rPr>
      </w:pPr>
      <w:r w:rsidRPr="008740C5">
        <w:rPr>
          <w:rFonts w:ascii="Arial Narrow" w:eastAsia="MS Mincho" w:hAnsi="Arial Narrow" w:cs="Arial"/>
          <w:b/>
          <w:bCs/>
          <w:lang w:val="en-GB" w:eastAsia="ar-SA"/>
        </w:rPr>
        <w:t>Coface has rapidly and proactively adapted its operations to the coronavirus crisis by:</w:t>
      </w:r>
    </w:p>
    <w:p w14:paraId="274AA1DD" w14:textId="77777777" w:rsidR="008740C5" w:rsidRPr="00E83EC2" w:rsidRDefault="008740C5" w:rsidP="008740C5">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Adjusting to the new environment, with over 95% of employees working from home since mid-March</w:t>
      </w:r>
    </w:p>
    <w:p w14:paraId="61D89E07" w14:textId="77777777" w:rsidR="008740C5" w:rsidRPr="008740C5" w:rsidRDefault="008740C5" w:rsidP="008740C5">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E83EC2">
        <w:rPr>
          <w:rFonts w:ascii="Arial Narrow" w:hAnsi="Arial Narrow" w:cs="Arial"/>
          <w:bCs/>
          <w:lang w:val="en-GB" w:eastAsia="ar-SA"/>
        </w:rPr>
        <w:t>Doubling the number of preventive measures since the beginning of the year</w:t>
      </w:r>
      <w:r w:rsidRPr="008740C5">
        <w:rPr>
          <w:rFonts w:ascii="Arial Narrow" w:hAnsi="Arial Narrow" w:cs="Arial"/>
          <w:bCs/>
          <w:lang w:val="en-GB" w:eastAsia="ar-SA"/>
        </w:rPr>
        <w:t xml:space="preserve"> </w:t>
      </w:r>
    </w:p>
    <w:p w14:paraId="036153A1" w14:textId="1222F333" w:rsidR="008740C5" w:rsidRPr="00E83EC2" w:rsidRDefault="008740C5" w:rsidP="008740C5">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8740C5">
        <w:rPr>
          <w:rFonts w:ascii="Arial Narrow" w:hAnsi="Arial Narrow" w:cs="Arial"/>
          <w:bCs/>
          <w:lang w:val="en-GB" w:eastAsia="ar-SA"/>
        </w:rPr>
        <w:t>An adaptive project and investment reprioritisation strategy</w:t>
      </w:r>
    </w:p>
    <w:p w14:paraId="7F7E7824" w14:textId="1741E129" w:rsidR="008740C5" w:rsidRPr="003E679A" w:rsidRDefault="008740C5" w:rsidP="008740C5">
      <w:pPr>
        <w:numPr>
          <w:ilvl w:val="0"/>
          <w:numId w:val="15"/>
        </w:numPr>
        <w:tabs>
          <w:tab w:val="clear" w:pos="720"/>
          <w:tab w:val="num" w:pos="284"/>
          <w:tab w:val="num" w:pos="3600"/>
        </w:tabs>
        <w:spacing w:before="60" w:after="100" w:afterAutospacing="1"/>
        <w:ind w:left="714" w:hanging="714"/>
        <w:rPr>
          <w:rFonts w:ascii="Arial Narrow" w:eastAsia="MS Mincho" w:hAnsi="Arial Narrow" w:cs="Arial"/>
          <w:b/>
          <w:bCs/>
          <w:lang w:eastAsia="ar-SA"/>
        </w:rPr>
      </w:pPr>
      <w:r w:rsidRPr="003E679A">
        <w:rPr>
          <w:rFonts w:ascii="Arial Narrow" w:eastAsia="MS Mincho" w:hAnsi="Arial Narrow" w:cs="Arial"/>
          <w:b/>
          <w:bCs/>
          <w:lang w:eastAsia="ar-SA"/>
        </w:rPr>
        <w:t xml:space="preserve">Coface is </w:t>
      </w:r>
      <w:r w:rsidR="003E679A" w:rsidRPr="003E679A">
        <w:rPr>
          <w:rFonts w:ascii="Arial Narrow" w:eastAsia="MS Mincho" w:hAnsi="Arial Narrow" w:cs="Arial"/>
          <w:b/>
          <w:bCs/>
          <w:lang w:eastAsia="ar-SA"/>
        </w:rPr>
        <w:t>en</w:t>
      </w:r>
      <w:r w:rsidR="003E679A">
        <w:rPr>
          <w:rFonts w:ascii="Arial Narrow" w:eastAsia="MS Mincho" w:hAnsi="Arial Narrow" w:cs="Arial"/>
          <w:b/>
          <w:bCs/>
          <w:lang w:eastAsia="ar-SA"/>
        </w:rPr>
        <w:t>tering into</w:t>
      </w:r>
      <w:r w:rsidRPr="003E679A">
        <w:rPr>
          <w:rFonts w:ascii="Arial Narrow" w:eastAsia="MS Mincho" w:hAnsi="Arial Narrow" w:cs="Arial"/>
          <w:b/>
          <w:bCs/>
          <w:lang w:eastAsia="ar-SA"/>
        </w:rPr>
        <w:t xml:space="preserve"> the crisis </w:t>
      </w:r>
      <w:r w:rsidR="003E679A">
        <w:rPr>
          <w:rFonts w:ascii="Arial Narrow" w:eastAsia="MS Mincho" w:hAnsi="Arial Narrow" w:cs="Arial"/>
          <w:b/>
          <w:bCs/>
          <w:lang w:eastAsia="ar-SA"/>
        </w:rPr>
        <w:t>in</w:t>
      </w:r>
      <w:r w:rsidRPr="003E679A">
        <w:rPr>
          <w:rFonts w:ascii="Arial Narrow" w:eastAsia="MS Mincho" w:hAnsi="Arial Narrow" w:cs="Arial"/>
          <w:b/>
          <w:bCs/>
          <w:lang w:eastAsia="ar-SA"/>
        </w:rPr>
        <w:t xml:space="preserve"> a strengthened financial </w:t>
      </w:r>
      <w:r w:rsidR="003E679A">
        <w:rPr>
          <w:rFonts w:ascii="Arial Narrow" w:eastAsia="MS Mincho" w:hAnsi="Arial Narrow" w:cs="Arial"/>
          <w:b/>
          <w:bCs/>
          <w:lang w:eastAsia="ar-SA"/>
        </w:rPr>
        <w:t>position</w:t>
      </w:r>
      <w:r w:rsidRPr="003E679A">
        <w:rPr>
          <w:rFonts w:ascii="Arial Narrow" w:eastAsia="MS Mincho" w:hAnsi="Arial Narrow" w:cs="Arial"/>
          <w:b/>
          <w:bCs/>
          <w:lang w:eastAsia="ar-SA"/>
        </w:rPr>
        <w:t xml:space="preserve"> with:</w:t>
      </w:r>
    </w:p>
    <w:p w14:paraId="730B9A55" w14:textId="0BC09BA9" w:rsidR="008740C5" w:rsidRPr="008740C5" w:rsidRDefault="008740C5" w:rsidP="008740C5">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8740C5">
        <w:rPr>
          <w:rFonts w:ascii="Arial Narrow" w:hAnsi="Arial Narrow" w:cs="Arial"/>
          <w:bCs/>
          <w:lang w:val="en-GB" w:eastAsia="ar-SA"/>
        </w:rPr>
        <w:t>A level of liquidity that has almost tripled compared to the pre-crisis situation</w:t>
      </w:r>
      <w:r w:rsidR="003E679A">
        <w:rPr>
          <w:rFonts w:ascii="Arial Narrow" w:hAnsi="Arial Narrow" w:cs="Arial"/>
          <w:bCs/>
          <w:lang w:val="en-GB" w:eastAsia="ar-SA"/>
        </w:rPr>
        <w:t>, reaching</w:t>
      </w:r>
      <w:r w:rsidRPr="008740C5">
        <w:rPr>
          <w:rFonts w:ascii="Arial Narrow" w:hAnsi="Arial Narrow" w:cs="Arial"/>
          <w:bCs/>
          <w:lang w:val="en-GB" w:eastAsia="ar-SA"/>
        </w:rPr>
        <w:t xml:space="preserve"> 21% of the investment portfolio, thanks to early measures taken to reduce </w:t>
      </w:r>
      <w:r w:rsidR="003E679A">
        <w:rPr>
          <w:rFonts w:ascii="Arial Narrow" w:hAnsi="Arial Narrow" w:cs="Arial"/>
          <w:bCs/>
          <w:lang w:val="en-GB" w:eastAsia="ar-SA"/>
        </w:rPr>
        <w:t>exposure to</w:t>
      </w:r>
      <w:r w:rsidRPr="008740C5">
        <w:rPr>
          <w:rFonts w:ascii="Arial Narrow" w:hAnsi="Arial Narrow" w:cs="Arial"/>
          <w:bCs/>
          <w:lang w:val="en-GB" w:eastAsia="ar-SA"/>
        </w:rPr>
        <w:t xml:space="preserve"> certain </w:t>
      </w:r>
      <w:r w:rsidR="003E679A">
        <w:rPr>
          <w:rFonts w:ascii="Arial Narrow" w:hAnsi="Arial Narrow" w:cs="Arial"/>
          <w:bCs/>
          <w:lang w:val="en-GB" w:eastAsia="ar-SA"/>
        </w:rPr>
        <w:t xml:space="preserve">risky </w:t>
      </w:r>
      <w:r w:rsidR="003F7035">
        <w:rPr>
          <w:rFonts w:ascii="Arial Narrow" w:hAnsi="Arial Narrow" w:cs="Arial"/>
          <w:bCs/>
          <w:lang w:val="en-GB" w:eastAsia="ar-SA"/>
        </w:rPr>
        <w:t>asset classes</w:t>
      </w:r>
    </w:p>
    <w:p w14:paraId="5BB098B0" w14:textId="43E83CEE" w:rsidR="008740C5" w:rsidRPr="008740C5" w:rsidRDefault="008740C5" w:rsidP="008740C5">
      <w:pPr>
        <w:numPr>
          <w:ilvl w:val="1"/>
          <w:numId w:val="15"/>
        </w:numPr>
        <w:tabs>
          <w:tab w:val="clear" w:pos="786"/>
          <w:tab w:val="num" w:pos="567"/>
          <w:tab w:val="num" w:pos="2880"/>
        </w:tabs>
        <w:spacing w:before="100" w:beforeAutospacing="1" w:after="100" w:afterAutospacing="1"/>
        <w:ind w:left="567" w:hanging="283"/>
        <w:rPr>
          <w:rFonts w:ascii="Arial Narrow" w:hAnsi="Arial Narrow" w:cs="Arial"/>
          <w:bCs/>
          <w:lang w:val="en-GB" w:eastAsia="ar-SA"/>
        </w:rPr>
      </w:pPr>
      <w:r w:rsidRPr="008740C5">
        <w:rPr>
          <w:rFonts w:ascii="Arial Narrow" w:hAnsi="Arial Narrow" w:cs="Arial"/>
          <w:bCs/>
          <w:lang w:val="en-GB" w:eastAsia="ar-SA"/>
        </w:rPr>
        <w:t xml:space="preserve">A high level of solvency. The solvency ratio </w:t>
      </w:r>
      <w:proofErr w:type="gramStart"/>
      <w:r w:rsidRPr="008740C5">
        <w:rPr>
          <w:rFonts w:ascii="Arial Narrow" w:hAnsi="Arial Narrow" w:cs="Arial"/>
          <w:bCs/>
          <w:lang w:val="en-GB" w:eastAsia="ar-SA"/>
        </w:rPr>
        <w:t>was estimated</w:t>
      </w:r>
      <w:proofErr w:type="gramEnd"/>
      <w:r w:rsidRPr="008740C5">
        <w:rPr>
          <w:rFonts w:ascii="Arial Narrow" w:hAnsi="Arial Narrow" w:cs="Arial"/>
          <w:bCs/>
          <w:lang w:val="en-GB" w:eastAsia="ar-SA"/>
        </w:rPr>
        <w:t xml:space="preserve"> at 190% as at 31 December 2019. Following the decision </w:t>
      </w:r>
      <w:r w:rsidR="003E679A">
        <w:rPr>
          <w:rFonts w:ascii="Arial Narrow" w:hAnsi="Arial Narrow" w:cs="Arial"/>
          <w:bCs/>
          <w:lang w:val="en-GB" w:eastAsia="ar-SA"/>
        </w:rPr>
        <w:t>to propose no</w:t>
      </w:r>
      <w:r w:rsidRPr="008740C5">
        <w:rPr>
          <w:rFonts w:ascii="Arial Narrow" w:hAnsi="Arial Narrow" w:cs="Arial"/>
          <w:bCs/>
          <w:lang w:val="en-GB" w:eastAsia="ar-SA"/>
        </w:rPr>
        <w:t xml:space="preserve"> dividend distribution, and taking into account the sharp decline in the valuation of financial assets at 31 March 2020, this ratio is estimated at 195%</w:t>
      </w:r>
      <w:r>
        <w:rPr>
          <w:rFonts w:ascii="Arial Narrow" w:hAnsi="Arial Narrow" w:cs="Arial"/>
          <w:bCs/>
          <w:lang w:val="en-GB" w:eastAsia="ar-SA"/>
        </w:rPr>
        <w:t>*</w:t>
      </w:r>
      <w:r w:rsidRPr="008740C5">
        <w:rPr>
          <w:rFonts w:ascii="Arial Narrow" w:hAnsi="Arial Narrow" w:cs="Arial"/>
          <w:bCs/>
          <w:lang w:val="en-GB" w:eastAsia="ar-SA"/>
        </w:rPr>
        <w:t xml:space="preserve">*, above the comfort </w:t>
      </w:r>
      <w:r w:rsidR="003E679A">
        <w:rPr>
          <w:rFonts w:ascii="Arial Narrow" w:hAnsi="Arial Narrow" w:cs="Arial"/>
          <w:bCs/>
          <w:lang w:val="en-GB" w:eastAsia="ar-SA"/>
        </w:rPr>
        <w:t>ran</w:t>
      </w:r>
      <w:r w:rsidR="004E74A6">
        <w:rPr>
          <w:rFonts w:ascii="Arial Narrow" w:hAnsi="Arial Narrow" w:cs="Arial"/>
          <w:bCs/>
          <w:lang w:val="en-GB" w:eastAsia="ar-SA"/>
        </w:rPr>
        <w:t>g</w:t>
      </w:r>
      <w:r w:rsidR="003E679A">
        <w:rPr>
          <w:rFonts w:ascii="Arial Narrow" w:hAnsi="Arial Narrow" w:cs="Arial"/>
          <w:bCs/>
          <w:lang w:val="en-GB" w:eastAsia="ar-SA"/>
        </w:rPr>
        <w:t>e</w:t>
      </w:r>
      <w:r w:rsidR="003F7035">
        <w:rPr>
          <w:rFonts w:ascii="Arial Narrow" w:hAnsi="Arial Narrow" w:cs="Arial"/>
          <w:bCs/>
          <w:lang w:val="en-GB" w:eastAsia="ar-SA"/>
        </w:rPr>
        <w:t xml:space="preserve"> (between 155% and 175%)</w:t>
      </w:r>
    </w:p>
    <w:p w14:paraId="5888EE82" w14:textId="55EF189D" w:rsidR="008740C5" w:rsidRPr="003E679A" w:rsidRDefault="008740C5" w:rsidP="008740C5">
      <w:pPr>
        <w:numPr>
          <w:ilvl w:val="1"/>
          <w:numId w:val="15"/>
        </w:numPr>
        <w:tabs>
          <w:tab w:val="num" w:pos="567"/>
          <w:tab w:val="num" w:pos="2880"/>
        </w:tabs>
        <w:spacing w:after="0"/>
        <w:ind w:left="568" w:hanging="284"/>
        <w:rPr>
          <w:rFonts w:ascii="Arial Narrow" w:eastAsia="MS Mincho" w:hAnsi="Arial Narrow" w:cs="Arial"/>
          <w:bCs/>
          <w:lang w:eastAsia="ar-SA"/>
        </w:rPr>
      </w:pPr>
      <w:r w:rsidRPr="003E679A">
        <w:rPr>
          <w:rFonts w:ascii="Arial Narrow" w:eastAsia="MS Mincho" w:hAnsi="Arial Narrow" w:cs="Arial"/>
          <w:bCs/>
          <w:lang w:eastAsia="ar-SA"/>
        </w:rPr>
        <w:t>An active participation in supporting economies alongside governments, par</w:t>
      </w:r>
      <w:r w:rsidR="003F7035">
        <w:rPr>
          <w:rFonts w:ascii="Arial Narrow" w:eastAsia="MS Mincho" w:hAnsi="Arial Narrow" w:cs="Arial"/>
          <w:bCs/>
          <w:lang w:eastAsia="ar-SA"/>
        </w:rPr>
        <w:t>ticularly in France and Germany</w:t>
      </w:r>
    </w:p>
    <w:p w14:paraId="651DB9A4" w14:textId="432357F6" w:rsidR="006702AD" w:rsidRPr="003E679A" w:rsidRDefault="00024DBA" w:rsidP="00E716E4">
      <w:pPr>
        <w:tabs>
          <w:tab w:val="num" w:pos="2880"/>
        </w:tabs>
        <w:spacing w:after="40" w:line="240" w:lineRule="auto"/>
        <w:jc w:val="right"/>
        <w:rPr>
          <w:rFonts w:ascii="Arial Narrow" w:eastAsia="MS Mincho" w:hAnsi="Arial Narrow" w:cs="Arial"/>
          <w:bCs/>
          <w:i/>
          <w:sz w:val="14"/>
          <w:szCs w:val="21"/>
          <w:lang w:eastAsia="ar-SA"/>
        </w:rPr>
      </w:pPr>
      <w:r w:rsidRPr="003E679A">
        <w:rPr>
          <w:rFonts w:ascii="Arial Narrow" w:eastAsia="MS Mincho" w:hAnsi="Arial Narrow" w:cs="Arial"/>
          <w:bCs/>
          <w:i/>
          <w:sz w:val="14"/>
          <w:szCs w:val="21"/>
          <w:lang w:eastAsia="ar-SA"/>
        </w:rPr>
        <w:t xml:space="preserve">Unless otherwise indicated, change comparisons refer to the results as at </w:t>
      </w:r>
      <w:r w:rsidR="00CC6422" w:rsidRPr="003E679A">
        <w:rPr>
          <w:rFonts w:ascii="Arial Narrow" w:eastAsia="MS Mincho" w:hAnsi="Arial Narrow" w:cs="Arial"/>
          <w:bCs/>
          <w:i/>
          <w:sz w:val="14"/>
          <w:szCs w:val="21"/>
          <w:lang w:eastAsia="ar-SA"/>
        </w:rPr>
        <w:t>March 31,</w:t>
      </w:r>
      <w:r w:rsidR="009113BD" w:rsidRPr="003E679A">
        <w:rPr>
          <w:rFonts w:ascii="Arial Narrow" w:eastAsia="MS Mincho" w:hAnsi="Arial Narrow" w:cs="Arial"/>
          <w:bCs/>
          <w:i/>
          <w:sz w:val="14"/>
          <w:szCs w:val="21"/>
          <w:lang w:eastAsia="ar-SA"/>
        </w:rPr>
        <w:t xml:space="preserve"> 2019</w:t>
      </w:r>
      <w:r w:rsidRPr="003E679A">
        <w:rPr>
          <w:rFonts w:ascii="Arial Narrow" w:eastAsia="MS Mincho" w:hAnsi="Arial Narrow" w:cs="Arial"/>
          <w:bCs/>
          <w:i/>
          <w:sz w:val="14"/>
          <w:szCs w:val="21"/>
          <w:lang w:eastAsia="ar-SA"/>
        </w:rPr>
        <w:t>.</w:t>
      </w:r>
    </w:p>
    <w:p w14:paraId="4067BD18" w14:textId="77777777" w:rsidR="00620666" w:rsidRPr="00892F40" w:rsidRDefault="007A503D" w:rsidP="008740C5">
      <w:pPr>
        <w:widowControl w:val="0"/>
        <w:suppressAutoHyphens/>
        <w:spacing w:after="0"/>
        <w:rPr>
          <w:rFonts w:ascii="Arial Narrow" w:eastAsia="MS Mincho" w:hAnsi="Arial Narrow" w:cs="Arial"/>
          <w:b/>
          <w:bCs/>
          <w:lang w:val="en-GB" w:eastAsia="ar-SA"/>
        </w:rPr>
      </w:pPr>
      <w:r w:rsidRPr="00892F40">
        <w:rPr>
          <w:rFonts w:ascii="Arial Narrow" w:eastAsia="MS Mincho" w:hAnsi="Arial Narrow" w:cs="Arial"/>
          <w:b/>
          <w:bCs/>
          <w:lang w:val="en-GB" w:eastAsia="ar-SA"/>
        </w:rPr>
        <w:t xml:space="preserve">Xavier Durand, Coface CEO, </w:t>
      </w:r>
      <w:r w:rsidR="00E83EC2" w:rsidRPr="00892F40">
        <w:rPr>
          <w:rFonts w:ascii="Arial Narrow" w:eastAsia="MS Mincho" w:hAnsi="Arial Narrow" w:cs="Arial"/>
          <w:b/>
          <w:bCs/>
          <w:lang w:val="en-GB" w:eastAsia="ar-SA"/>
        </w:rPr>
        <w:t>commented</w:t>
      </w:r>
      <w:r w:rsidRPr="00892F40">
        <w:rPr>
          <w:rFonts w:ascii="Arial Narrow" w:eastAsia="MS Mincho" w:hAnsi="Arial Narrow" w:cs="Arial"/>
          <w:b/>
          <w:bCs/>
          <w:lang w:val="en-GB" w:eastAsia="ar-SA"/>
        </w:rPr>
        <w:t>:</w:t>
      </w:r>
    </w:p>
    <w:p w14:paraId="25063E99" w14:textId="41A875A0" w:rsidR="0072348D" w:rsidRPr="003E679A" w:rsidRDefault="00DC5181" w:rsidP="00E716E4">
      <w:pPr>
        <w:widowControl w:val="0"/>
        <w:suppressAutoHyphens/>
        <w:spacing w:after="20"/>
        <w:rPr>
          <w:rFonts w:ascii="Arial Narrow" w:eastAsia="MS Mincho" w:hAnsi="Arial Narrow" w:cs="Arial"/>
          <w:bCs/>
          <w:i/>
          <w:lang w:eastAsia="ar-SA"/>
        </w:rPr>
      </w:pPr>
      <w:r w:rsidRPr="003E679A">
        <w:rPr>
          <w:rFonts w:ascii="Arial Narrow" w:eastAsia="MS Mincho" w:hAnsi="Arial Narrow" w:cs="Arial"/>
          <w:bCs/>
          <w:i/>
          <w:lang w:eastAsia="ar-SA"/>
        </w:rPr>
        <w:t>“</w:t>
      </w:r>
      <w:r w:rsidR="00F31824" w:rsidRPr="003E679A">
        <w:rPr>
          <w:rFonts w:ascii="Arial Narrow" w:eastAsia="MS Mincho" w:hAnsi="Arial Narrow" w:cs="Arial"/>
          <w:bCs/>
          <w:i/>
          <w:lang w:eastAsia="ar-SA"/>
        </w:rPr>
        <w:t xml:space="preserve">The coronavirus crisis </w:t>
      </w:r>
      <w:r w:rsidR="00CC6422" w:rsidRPr="003E679A">
        <w:rPr>
          <w:rFonts w:ascii="Arial Narrow" w:eastAsia="MS Mincho" w:hAnsi="Arial Narrow" w:cs="Arial"/>
          <w:bCs/>
          <w:i/>
          <w:lang w:eastAsia="ar-SA"/>
        </w:rPr>
        <w:t>presents</w:t>
      </w:r>
      <w:r w:rsidR="00F31824" w:rsidRPr="003E679A">
        <w:rPr>
          <w:rFonts w:ascii="Arial Narrow" w:eastAsia="MS Mincho" w:hAnsi="Arial Narrow" w:cs="Arial"/>
          <w:bCs/>
          <w:i/>
          <w:lang w:eastAsia="ar-SA"/>
        </w:rPr>
        <w:t xml:space="preserve"> an unprecedented shock </w:t>
      </w:r>
      <w:r w:rsidR="00CC6422" w:rsidRPr="003E679A">
        <w:rPr>
          <w:rFonts w:ascii="Arial Narrow" w:eastAsia="MS Mincho" w:hAnsi="Arial Narrow" w:cs="Arial"/>
          <w:bCs/>
          <w:i/>
          <w:lang w:eastAsia="ar-SA"/>
        </w:rPr>
        <w:t xml:space="preserve">for </w:t>
      </w:r>
      <w:r w:rsidR="00F31824" w:rsidRPr="003E679A">
        <w:rPr>
          <w:rFonts w:ascii="Arial Narrow" w:eastAsia="MS Mincho" w:hAnsi="Arial Narrow" w:cs="Arial"/>
          <w:bCs/>
          <w:i/>
          <w:lang w:eastAsia="ar-SA"/>
        </w:rPr>
        <w:t xml:space="preserve">our economies and </w:t>
      </w:r>
      <w:r w:rsidR="00CC6422" w:rsidRPr="003E679A">
        <w:rPr>
          <w:rFonts w:ascii="Arial Narrow" w:eastAsia="MS Mincho" w:hAnsi="Arial Narrow" w:cs="Arial"/>
          <w:bCs/>
          <w:i/>
          <w:lang w:eastAsia="ar-SA"/>
        </w:rPr>
        <w:t xml:space="preserve">for the </w:t>
      </w:r>
      <w:r w:rsidR="00F31824" w:rsidRPr="003E679A">
        <w:rPr>
          <w:rFonts w:ascii="Arial Narrow" w:eastAsia="MS Mincho" w:hAnsi="Arial Narrow" w:cs="Arial"/>
          <w:bCs/>
          <w:i/>
          <w:lang w:eastAsia="ar-SA"/>
        </w:rPr>
        <w:t>credit insurance</w:t>
      </w:r>
      <w:r w:rsidR="00CC6422" w:rsidRPr="003E679A">
        <w:rPr>
          <w:rFonts w:ascii="Arial Narrow" w:eastAsia="MS Mincho" w:hAnsi="Arial Narrow" w:cs="Arial"/>
          <w:bCs/>
          <w:i/>
          <w:lang w:eastAsia="ar-SA"/>
        </w:rPr>
        <w:t xml:space="preserve"> industry</w:t>
      </w:r>
      <w:r w:rsidR="00F31824" w:rsidRPr="003E679A">
        <w:rPr>
          <w:rFonts w:ascii="Arial Narrow" w:eastAsia="MS Mincho" w:hAnsi="Arial Narrow" w:cs="Arial"/>
          <w:bCs/>
          <w:i/>
          <w:lang w:eastAsia="ar-SA"/>
        </w:rPr>
        <w:t xml:space="preserve">. </w:t>
      </w:r>
      <w:proofErr w:type="gramStart"/>
      <w:r w:rsidR="00CC6422" w:rsidRPr="003E679A">
        <w:rPr>
          <w:rFonts w:ascii="Arial Narrow" w:eastAsia="MS Mincho" w:hAnsi="Arial Narrow" w:cs="Arial"/>
          <w:bCs/>
          <w:i/>
          <w:lang w:eastAsia="ar-SA"/>
        </w:rPr>
        <w:t>First and foremost</w:t>
      </w:r>
      <w:proofErr w:type="gramEnd"/>
      <w:r w:rsidR="00CC6422" w:rsidRPr="003E679A">
        <w:rPr>
          <w:rFonts w:ascii="Arial Narrow" w:eastAsia="MS Mincho" w:hAnsi="Arial Narrow" w:cs="Arial"/>
          <w:bCs/>
          <w:i/>
          <w:lang w:eastAsia="ar-SA"/>
        </w:rPr>
        <w:t xml:space="preserve">, I </w:t>
      </w:r>
      <w:r w:rsidR="00F31824" w:rsidRPr="003E679A">
        <w:rPr>
          <w:rFonts w:ascii="Arial Narrow" w:eastAsia="MS Mincho" w:hAnsi="Arial Narrow" w:cs="Arial"/>
          <w:bCs/>
          <w:i/>
          <w:lang w:eastAsia="ar-SA"/>
        </w:rPr>
        <w:t xml:space="preserve">am very proud of </w:t>
      </w:r>
      <w:r w:rsidR="00CC6422" w:rsidRPr="003E679A">
        <w:rPr>
          <w:rFonts w:ascii="Arial Narrow" w:eastAsia="MS Mincho" w:hAnsi="Arial Narrow" w:cs="Arial"/>
          <w:bCs/>
          <w:i/>
          <w:lang w:eastAsia="ar-SA"/>
        </w:rPr>
        <w:t xml:space="preserve">our teams’ successful efforts </w:t>
      </w:r>
      <w:r w:rsidR="00F31824" w:rsidRPr="003E679A">
        <w:rPr>
          <w:rFonts w:ascii="Arial Narrow" w:eastAsia="MS Mincho" w:hAnsi="Arial Narrow" w:cs="Arial"/>
          <w:bCs/>
          <w:i/>
          <w:lang w:eastAsia="ar-SA"/>
        </w:rPr>
        <w:t xml:space="preserve">to continue </w:t>
      </w:r>
      <w:r w:rsidR="00CC6422" w:rsidRPr="003E679A">
        <w:rPr>
          <w:rFonts w:ascii="Arial Narrow" w:eastAsia="MS Mincho" w:hAnsi="Arial Narrow" w:cs="Arial"/>
          <w:bCs/>
          <w:i/>
          <w:lang w:eastAsia="ar-SA"/>
        </w:rPr>
        <w:t>s</w:t>
      </w:r>
      <w:r w:rsidR="00F31824" w:rsidRPr="003E679A">
        <w:rPr>
          <w:rFonts w:ascii="Arial Narrow" w:eastAsia="MS Mincho" w:hAnsi="Arial Narrow" w:cs="Arial"/>
          <w:bCs/>
          <w:i/>
          <w:lang w:eastAsia="ar-SA"/>
        </w:rPr>
        <w:t>upport</w:t>
      </w:r>
      <w:r w:rsidR="00CC6422" w:rsidRPr="003E679A">
        <w:rPr>
          <w:rFonts w:ascii="Arial Narrow" w:eastAsia="MS Mincho" w:hAnsi="Arial Narrow" w:cs="Arial"/>
          <w:bCs/>
          <w:i/>
          <w:lang w:eastAsia="ar-SA"/>
        </w:rPr>
        <w:t>ing</w:t>
      </w:r>
      <w:r w:rsidR="00F31824" w:rsidRPr="003E679A">
        <w:rPr>
          <w:rFonts w:ascii="Arial Narrow" w:eastAsia="MS Mincho" w:hAnsi="Arial Narrow" w:cs="Arial"/>
          <w:bCs/>
          <w:i/>
          <w:lang w:eastAsia="ar-SA"/>
        </w:rPr>
        <w:t xml:space="preserve"> our customers despite the containment measures. Over 4,000 of our employees are working from home</w:t>
      </w:r>
      <w:r w:rsidR="0072348D" w:rsidRPr="003E679A">
        <w:rPr>
          <w:rFonts w:ascii="Arial Narrow" w:eastAsia="MS Mincho" w:hAnsi="Arial Narrow" w:cs="Arial"/>
          <w:bCs/>
          <w:i/>
          <w:lang w:eastAsia="ar-SA"/>
        </w:rPr>
        <w:t xml:space="preserve"> with no disruption in quality of service delivered to clients. This has enabled us to maintain a constant dialogue with our customers at a time when the environment has forced us to step up the pace of our </w:t>
      </w:r>
      <w:r w:rsidR="00C82923" w:rsidRPr="003E679A">
        <w:rPr>
          <w:rFonts w:ascii="Arial Narrow" w:eastAsia="MS Mincho" w:hAnsi="Arial Narrow" w:cs="Arial"/>
          <w:bCs/>
          <w:i/>
          <w:lang w:eastAsia="ar-SA"/>
        </w:rPr>
        <w:t>prevention</w:t>
      </w:r>
      <w:r w:rsidR="0072348D" w:rsidRPr="003E679A">
        <w:rPr>
          <w:rFonts w:ascii="Arial Narrow" w:eastAsia="MS Mincho" w:hAnsi="Arial Narrow" w:cs="Arial"/>
          <w:bCs/>
          <w:i/>
          <w:lang w:eastAsia="ar-SA"/>
        </w:rPr>
        <w:t xml:space="preserve"> measures.</w:t>
      </w:r>
    </w:p>
    <w:p w14:paraId="08DC52F7" w14:textId="34913B51" w:rsidR="00F31824" w:rsidRPr="00AB369E" w:rsidRDefault="00F31824" w:rsidP="00E716E4">
      <w:pPr>
        <w:widowControl w:val="0"/>
        <w:suppressAutoHyphens/>
        <w:spacing w:after="20"/>
        <w:rPr>
          <w:rFonts w:ascii="Arial Narrow" w:eastAsia="MS Mincho" w:hAnsi="Arial Narrow" w:cs="Arial"/>
          <w:bCs/>
          <w:i/>
          <w:lang w:val="en-GB" w:eastAsia="ar-SA"/>
        </w:rPr>
      </w:pPr>
      <w:r w:rsidRPr="003E679A">
        <w:rPr>
          <w:rFonts w:ascii="Arial Narrow" w:eastAsia="MS Mincho" w:hAnsi="Arial Narrow" w:cs="Arial"/>
          <w:bCs/>
          <w:i/>
          <w:lang w:eastAsia="ar-SA"/>
        </w:rPr>
        <w:t>The results for the first quarter, which show a positive net income of €12.7m</w:t>
      </w:r>
      <w:r w:rsidR="00CC6422" w:rsidRPr="003E679A">
        <w:rPr>
          <w:rFonts w:ascii="Arial Narrow" w:eastAsia="MS Mincho" w:hAnsi="Arial Narrow" w:cs="Arial"/>
          <w:bCs/>
          <w:i/>
          <w:lang w:eastAsia="ar-SA"/>
        </w:rPr>
        <w:t>, reflect</w:t>
      </w:r>
      <w:r w:rsidRPr="003E679A">
        <w:rPr>
          <w:rFonts w:ascii="Arial Narrow" w:eastAsia="MS Mincho" w:hAnsi="Arial Narrow" w:cs="Arial"/>
          <w:bCs/>
          <w:i/>
          <w:lang w:eastAsia="ar-SA"/>
        </w:rPr>
        <w:t xml:space="preserve"> </w:t>
      </w:r>
      <w:r w:rsidR="00C82923" w:rsidRPr="003E679A">
        <w:rPr>
          <w:rFonts w:ascii="Arial Narrow" w:eastAsia="MS Mincho" w:hAnsi="Arial Narrow" w:cs="Arial"/>
          <w:bCs/>
          <w:i/>
          <w:lang w:eastAsia="ar-SA"/>
        </w:rPr>
        <w:t xml:space="preserve">only </w:t>
      </w:r>
      <w:r w:rsidRPr="003E679A">
        <w:rPr>
          <w:rFonts w:ascii="Arial Narrow" w:eastAsia="MS Mincho" w:hAnsi="Arial Narrow" w:cs="Arial"/>
          <w:bCs/>
          <w:i/>
          <w:lang w:eastAsia="ar-SA"/>
        </w:rPr>
        <w:t xml:space="preserve">the initial effects of the </w:t>
      </w:r>
      <w:proofErr w:type="gramStart"/>
      <w:r w:rsidRPr="003E679A">
        <w:rPr>
          <w:rFonts w:ascii="Arial Narrow" w:eastAsia="MS Mincho" w:hAnsi="Arial Narrow" w:cs="Arial"/>
          <w:bCs/>
          <w:i/>
          <w:lang w:eastAsia="ar-SA"/>
        </w:rPr>
        <w:t>crisis</w:t>
      </w:r>
      <w:r w:rsidR="00C82923" w:rsidRPr="003E679A">
        <w:rPr>
          <w:rFonts w:ascii="Arial Narrow" w:eastAsia="MS Mincho" w:hAnsi="Arial Narrow" w:cs="Arial"/>
          <w:bCs/>
          <w:i/>
          <w:lang w:eastAsia="ar-SA"/>
        </w:rPr>
        <w:t>,</w:t>
      </w:r>
      <w:r w:rsidRPr="003E679A">
        <w:rPr>
          <w:rFonts w:ascii="Arial Narrow" w:eastAsia="MS Mincho" w:hAnsi="Arial Narrow" w:cs="Arial"/>
          <w:bCs/>
          <w:i/>
          <w:lang w:eastAsia="ar-SA"/>
        </w:rPr>
        <w:t xml:space="preserve"> that</w:t>
      </w:r>
      <w:proofErr w:type="gramEnd"/>
      <w:r w:rsidRPr="003E679A">
        <w:rPr>
          <w:rFonts w:ascii="Arial Narrow" w:eastAsia="MS Mincho" w:hAnsi="Arial Narrow" w:cs="Arial"/>
          <w:bCs/>
          <w:i/>
          <w:lang w:eastAsia="ar-SA"/>
        </w:rPr>
        <w:t xml:space="preserve"> will affect our revenues </w:t>
      </w:r>
      <w:r w:rsidR="006B3DA2" w:rsidRPr="003E679A">
        <w:rPr>
          <w:rFonts w:ascii="Arial Narrow" w:eastAsia="MS Mincho" w:hAnsi="Arial Narrow" w:cs="Arial"/>
          <w:bCs/>
          <w:i/>
          <w:lang w:eastAsia="ar-SA"/>
        </w:rPr>
        <w:t xml:space="preserve">through </w:t>
      </w:r>
      <w:r w:rsidRPr="003E679A">
        <w:rPr>
          <w:rFonts w:ascii="Arial Narrow" w:eastAsia="MS Mincho" w:hAnsi="Arial Narrow" w:cs="Arial"/>
          <w:bCs/>
          <w:i/>
          <w:lang w:eastAsia="ar-SA"/>
        </w:rPr>
        <w:t>declining client activities</w:t>
      </w:r>
      <w:r w:rsidR="00D17440" w:rsidRPr="003E679A">
        <w:rPr>
          <w:rFonts w:ascii="Arial Narrow" w:eastAsia="MS Mincho" w:hAnsi="Arial Narrow" w:cs="Arial"/>
          <w:bCs/>
          <w:i/>
          <w:lang w:eastAsia="ar-SA"/>
        </w:rPr>
        <w:t xml:space="preserve"> and will increase claims</w:t>
      </w:r>
      <w:r w:rsidRPr="003E679A">
        <w:rPr>
          <w:rFonts w:ascii="Arial Narrow" w:eastAsia="MS Mincho" w:hAnsi="Arial Narrow" w:cs="Arial"/>
          <w:bCs/>
          <w:i/>
          <w:lang w:eastAsia="ar-SA"/>
        </w:rPr>
        <w:t xml:space="preserve">. </w:t>
      </w:r>
      <w:r w:rsidRPr="00AB369E">
        <w:rPr>
          <w:rFonts w:ascii="Arial Narrow" w:eastAsia="MS Mincho" w:hAnsi="Arial Narrow" w:cs="Arial"/>
          <w:bCs/>
          <w:i/>
          <w:lang w:val="en-GB" w:eastAsia="ar-SA"/>
        </w:rPr>
        <w:t xml:space="preserve">Our decision </w:t>
      </w:r>
      <w:r w:rsidR="00AB369E" w:rsidRPr="00AB369E">
        <w:rPr>
          <w:rFonts w:ascii="Arial Narrow" w:eastAsia="MS Mincho" w:hAnsi="Arial Narrow" w:cs="Arial"/>
          <w:bCs/>
          <w:i/>
          <w:lang w:val="en-GB" w:eastAsia="ar-SA"/>
        </w:rPr>
        <w:t>to propose</w:t>
      </w:r>
      <w:r w:rsidR="00AB369E">
        <w:rPr>
          <w:rFonts w:ascii="Arial Narrow" w:eastAsia="MS Mincho" w:hAnsi="Arial Narrow" w:cs="Arial"/>
          <w:bCs/>
          <w:i/>
          <w:lang w:val="en-GB" w:eastAsia="ar-SA"/>
        </w:rPr>
        <w:t xml:space="preserve"> </w:t>
      </w:r>
      <w:r w:rsidR="003E679A">
        <w:rPr>
          <w:rFonts w:ascii="Arial Narrow" w:eastAsia="MS Mincho" w:hAnsi="Arial Narrow" w:cs="Arial"/>
          <w:bCs/>
          <w:i/>
          <w:lang w:val="en-GB" w:eastAsia="ar-SA"/>
        </w:rPr>
        <w:t>no</w:t>
      </w:r>
      <w:r w:rsidR="00AB369E">
        <w:rPr>
          <w:rFonts w:ascii="Arial Narrow" w:eastAsia="MS Mincho" w:hAnsi="Arial Narrow" w:cs="Arial"/>
          <w:bCs/>
          <w:i/>
          <w:lang w:val="en-GB" w:eastAsia="ar-SA"/>
        </w:rPr>
        <w:t xml:space="preserve"> </w:t>
      </w:r>
      <w:r w:rsidRPr="00AB369E">
        <w:rPr>
          <w:rFonts w:ascii="Arial Narrow" w:eastAsia="MS Mincho" w:hAnsi="Arial Narrow" w:cs="Arial"/>
          <w:bCs/>
          <w:i/>
          <w:lang w:val="en-GB" w:eastAsia="ar-SA"/>
        </w:rPr>
        <w:t xml:space="preserve">dividend for 2019 and </w:t>
      </w:r>
      <w:proofErr w:type="gramStart"/>
      <w:r w:rsidRPr="00AB369E">
        <w:rPr>
          <w:rFonts w:ascii="Arial Narrow" w:eastAsia="MS Mincho" w:hAnsi="Arial Narrow" w:cs="Arial"/>
          <w:bCs/>
          <w:i/>
          <w:lang w:val="en-GB" w:eastAsia="ar-SA"/>
        </w:rPr>
        <w:t>to significantly increase</w:t>
      </w:r>
      <w:proofErr w:type="gramEnd"/>
      <w:r w:rsidRPr="00AB369E">
        <w:rPr>
          <w:rFonts w:ascii="Arial Narrow" w:eastAsia="MS Mincho" w:hAnsi="Arial Narrow" w:cs="Arial"/>
          <w:bCs/>
          <w:i/>
          <w:lang w:val="en-GB" w:eastAsia="ar-SA"/>
        </w:rPr>
        <w:t xml:space="preserve"> our liquidity</w:t>
      </w:r>
      <w:r w:rsidR="00CC6422" w:rsidRPr="00AB369E">
        <w:rPr>
          <w:rFonts w:ascii="Arial Narrow" w:eastAsia="MS Mincho" w:hAnsi="Arial Narrow" w:cs="Arial"/>
          <w:bCs/>
          <w:i/>
          <w:lang w:val="en-GB" w:eastAsia="ar-SA"/>
        </w:rPr>
        <w:t xml:space="preserve"> – </w:t>
      </w:r>
      <w:r w:rsidRPr="00AB369E">
        <w:rPr>
          <w:rFonts w:ascii="Arial Narrow" w:eastAsia="MS Mincho" w:hAnsi="Arial Narrow" w:cs="Arial"/>
          <w:bCs/>
          <w:i/>
          <w:lang w:val="en-GB" w:eastAsia="ar-SA"/>
        </w:rPr>
        <w:t>which now accounts for 2</w:t>
      </w:r>
      <w:r w:rsidR="006B3DA2" w:rsidRPr="00AB369E">
        <w:rPr>
          <w:rFonts w:ascii="Arial Narrow" w:eastAsia="MS Mincho" w:hAnsi="Arial Narrow" w:cs="Arial"/>
          <w:bCs/>
          <w:i/>
          <w:lang w:val="en-GB" w:eastAsia="ar-SA"/>
        </w:rPr>
        <w:t>1</w:t>
      </w:r>
      <w:r w:rsidRPr="00AB369E">
        <w:rPr>
          <w:rFonts w:ascii="Arial Narrow" w:eastAsia="MS Mincho" w:hAnsi="Arial Narrow" w:cs="Arial"/>
          <w:bCs/>
          <w:i/>
          <w:lang w:val="en-GB" w:eastAsia="ar-SA"/>
        </w:rPr>
        <w:t>% of our investments</w:t>
      </w:r>
      <w:r w:rsidR="00CC6422" w:rsidRPr="00AB369E">
        <w:rPr>
          <w:rFonts w:ascii="Arial Narrow" w:eastAsia="MS Mincho" w:hAnsi="Arial Narrow" w:cs="Arial"/>
          <w:bCs/>
          <w:i/>
          <w:lang w:val="en-GB" w:eastAsia="ar-SA"/>
        </w:rPr>
        <w:t xml:space="preserve"> – </w:t>
      </w:r>
      <w:r w:rsidR="00D17440" w:rsidRPr="00AB369E">
        <w:rPr>
          <w:rFonts w:ascii="Arial Narrow" w:eastAsia="MS Mincho" w:hAnsi="Arial Narrow" w:cs="Arial"/>
          <w:bCs/>
          <w:i/>
          <w:lang w:val="en-GB" w:eastAsia="ar-SA"/>
        </w:rPr>
        <w:t>s</w:t>
      </w:r>
      <w:r w:rsidRPr="00AB369E">
        <w:rPr>
          <w:rFonts w:ascii="Arial Narrow" w:eastAsia="MS Mincho" w:hAnsi="Arial Narrow" w:cs="Arial"/>
          <w:bCs/>
          <w:i/>
          <w:lang w:val="en-GB" w:eastAsia="ar-SA"/>
        </w:rPr>
        <w:t>trengthens our ability to weather this crisis.</w:t>
      </w:r>
    </w:p>
    <w:p w14:paraId="1D5C74B3" w14:textId="19DA40F7" w:rsidR="008740C5" w:rsidRPr="003E679A" w:rsidRDefault="00F31824" w:rsidP="00E716E4">
      <w:pPr>
        <w:widowControl w:val="0"/>
        <w:suppressAutoHyphens/>
        <w:spacing w:after="20"/>
        <w:rPr>
          <w:rFonts w:ascii="Arial Narrow" w:eastAsia="MS Mincho" w:hAnsi="Arial Narrow" w:cs="Arial"/>
          <w:bCs/>
          <w:i/>
          <w:lang w:eastAsia="ar-SA"/>
        </w:rPr>
      </w:pPr>
      <w:r w:rsidRPr="003E679A">
        <w:rPr>
          <w:rFonts w:ascii="Arial Narrow" w:eastAsia="MS Mincho" w:hAnsi="Arial Narrow" w:cs="Arial"/>
          <w:bCs/>
          <w:i/>
          <w:lang w:eastAsia="ar-SA"/>
        </w:rPr>
        <w:t xml:space="preserve">We are also working alongside governments to maintain credit insurance for the largest possible number of companies. Coface </w:t>
      </w:r>
      <w:r w:rsidR="00CC6422" w:rsidRPr="003E679A">
        <w:rPr>
          <w:rFonts w:ascii="Arial Narrow" w:eastAsia="MS Mincho" w:hAnsi="Arial Narrow" w:cs="Arial"/>
          <w:bCs/>
          <w:i/>
          <w:lang w:eastAsia="ar-SA"/>
        </w:rPr>
        <w:t xml:space="preserve">is proud to have signed agreement </w:t>
      </w:r>
      <w:r w:rsidR="00AA6DA9" w:rsidRPr="003E679A">
        <w:rPr>
          <w:rFonts w:ascii="Arial Narrow" w:eastAsia="MS Mincho" w:hAnsi="Arial Narrow" w:cs="Arial"/>
          <w:bCs/>
          <w:i/>
          <w:lang w:eastAsia="ar-SA"/>
        </w:rPr>
        <w:t>with the French and</w:t>
      </w:r>
      <w:r w:rsidR="00C82923" w:rsidRPr="003E679A">
        <w:rPr>
          <w:rFonts w:ascii="Arial Narrow" w:eastAsia="MS Mincho" w:hAnsi="Arial Narrow" w:cs="Arial"/>
          <w:bCs/>
          <w:i/>
          <w:lang w:eastAsia="ar-SA"/>
        </w:rPr>
        <w:t xml:space="preserve"> </w:t>
      </w:r>
      <w:r w:rsidRPr="003E679A">
        <w:rPr>
          <w:rFonts w:ascii="Arial Narrow" w:eastAsia="MS Mincho" w:hAnsi="Arial Narrow" w:cs="Arial"/>
          <w:bCs/>
          <w:i/>
          <w:lang w:eastAsia="ar-SA"/>
        </w:rPr>
        <w:t>German</w:t>
      </w:r>
      <w:r w:rsidR="00AA6DA9" w:rsidRPr="003E679A">
        <w:rPr>
          <w:rFonts w:ascii="Arial Narrow" w:eastAsia="MS Mincho" w:hAnsi="Arial Narrow" w:cs="Arial"/>
          <w:bCs/>
          <w:i/>
          <w:lang w:eastAsia="ar-SA"/>
        </w:rPr>
        <w:t xml:space="preserve"> </w:t>
      </w:r>
      <w:r w:rsidRPr="003E679A">
        <w:rPr>
          <w:rFonts w:ascii="Arial Narrow" w:eastAsia="MS Mincho" w:hAnsi="Arial Narrow" w:cs="Arial"/>
          <w:bCs/>
          <w:i/>
          <w:lang w:eastAsia="ar-SA"/>
        </w:rPr>
        <w:t xml:space="preserve">governments and is continuing discussions </w:t>
      </w:r>
      <w:proofErr w:type="gramStart"/>
      <w:r w:rsidRPr="003E679A">
        <w:rPr>
          <w:rFonts w:ascii="Arial Narrow" w:eastAsia="MS Mincho" w:hAnsi="Arial Narrow" w:cs="Arial"/>
          <w:bCs/>
          <w:i/>
          <w:lang w:eastAsia="ar-SA"/>
        </w:rPr>
        <w:t>with</w:t>
      </w:r>
      <w:proofErr w:type="gramEnd"/>
      <w:r w:rsidRPr="003E679A">
        <w:rPr>
          <w:rFonts w:ascii="Arial Narrow" w:eastAsia="MS Mincho" w:hAnsi="Arial Narrow" w:cs="Arial"/>
          <w:bCs/>
          <w:i/>
          <w:lang w:eastAsia="ar-SA"/>
        </w:rPr>
        <w:t xml:space="preserve"> other</w:t>
      </w:r>
      <w:r w:rsidR="00C82923" w:rsidRPr="003E679A">
        <w:rPr>
          <w:rFonts w:ascii="Arial Narrow" w:eastAsia="MS Mincho" w:hAnsi="Arial Narrow" w:cs="Arial"/>
          <w:bCs/>
          <w:i/>
          <w:lang w:eastAsia="ar-SA"/>
        </w:rPr>
        <w:t>s</w:t>
      </w:r>
      <w:r w:rsidRPr="003E679A">
        <w:rPr>
          <w:rFonts w:ascii="Arial Narrow" w:eastAsia="MS Mincho" w:hAnsi="Arial Narrow" w:cs="Arial"/>
          <w:bCs/>
          <w:i/>
          <w:lang w:eastAsia="ar-SA"/>
        </w:rPr>
        <w:t xml:space="preserve"> </w:t>
      </w:r>
      <w:r w:rsidR="00AA6DA9" w:rsidRPr="003E679A">
        <w:rPr>
          <w:rFonts w:ascii="Arial Narrow" w:eastAsia="MS Mincho" w:hAnsi="Arial Narrow" w:cs="Arial"/>
          <w:bCs/>
          <w:i/>
          <w:lang w:eastAsia="ar-SA"/>
        </w:rPr>
        <w:t>S</w:t>
      </w:r>
      <w:r w:rsidRPr="003E679A">
        <w:rPr>
          <w:rFonts w:ascii="Arial Narrow" w:eastAsia="MS Mincho" w:hAnsi="Arial Narrow" w:cs="Arial"/>
          <w:bCs/>
          <w:i/>
          <w:lang w:eastAsia="ar-SA"/>
        </w:rPr>
        <w:t>tates.”</w:t>
      </w:r>
    </w:p>
    <w:p w14:paraId="64FAF435" w14:textId="77777777" w:rsidR="00E716E4" w:rsidRPr="003E679A" w:rsidRDefault="00E716E4" w:rsidP="00E716E4">
      <w:pPr>
        <w:widowControl w:val="0"/>
        <w:suppressAutoHyphens/>
        <w:spacing w:after="20"/>
        <w:rPr>
          <w:rFonts w:ascii="Arial Narrow" w:eastAsia="MS Mincho" w:hAnsi="Arial Narrow" w:cs="Arial"/>
          <w:bCs/>
          <w:i/>
          <w:sz w:val="2"/>
          <w:lang w:eastAsia="ar-SA"/>
        </w:rPr>
      </w:pPr>
    </w:p>
    <w:p w14:paraId="6AD2A5A4" w14:textId="356F1622" w:rsidR="008740C5" w:rsidRPr="008740C5" w:rsidRDefault="008740C5" w:rsidP="008740C5">
      <w:pPr>
        <w:pStyle w:val="Notedebasdepage"/>
        <w:spacing w:after="0" w:line="240" w:lineRule="auto"/>
        <w:rPr>
          <w:rFonts w:ascii="Arial Narrow" w:hAnsi="Arial Narrow"/>
          <w:i/>
          <w:sz w:val="14"/>
          <w:szCs w:val="14"/>
          <w:lang w:val="en-GB"/>
        </w:rPr>
      </w:pPr>
      <w:r w:rsidRPr="008740C5">
        <w:rPr>
          <w:rFonts w:ascii="Arial Narrow" w:hAnsi="Arial Narrow"/>
          <w:i/>
          <w:sz w:val="14"/>
          <w:szCs w:val="14"/>
          <w:vertAlign w:val="superscript"/>
          <w:lang w:val="en-GB"/>
        </w:rPr>
        <w:t xml:space="preserve">* </w:t>
      </w:r>
      <w:r w:rsidRPr="008740C5">
        <w:rPr>
          <w:rFonts w:ascii="Arial Narrow" w:hAnsi="Arial Narrow"/>
          <w:i/>
          <w:sz w:val="14"/>
          <w:szCs w:val="14"/>
        </w:rPr>
        <w:t>Return on average tangible equity</w:t>
      </w:r>
    </w:p>
    <w:p w14:paraId="076787E1" w14:textId="6BA7F98D" w:rsidR="003362A3" w:rsidRPr="008740C5" w:rsidRDefault="008740C5" w:rsidP="008740C5">
      <w:pPr>
        <w:widowControl w:val="0"/>
        <w:suppressAutoHyphens/>
        <w:spacing w:after="60"/>
        <w:rPr>
          <w:rFonts w:ascii="Arial Narrow" w:hAnsi="Arial Narrow" w:cs="Arial"/>
          <w:bCs/>
          <w:i/>
          <w:highlight w:val="yellow"/>
          <w:lang w:val="en-GB" w:eastAsia="ar-SA"/>
        </w:rPr>
      </w:pPr>
      <w:proofErr w:type="gramStart"/>
      <w:r w:rsidRPr="008740C5">
        <w:rPr>
          <w:rFonts w:ascii="Arial Narrow" w:hAnsi="Arial Narrow"/>
          <w:i/>
          <w:sz w:val="14"/>
          <w:szCs w:val="14"/>
          <w:lang w:val="en-GB"/>
        </w:rPr>
        <w:t>** On</w:t>
      </w:r>
      <w:bookmarkStart w:id="0" w:name="_GoBack"/>
      <w:bookmarkEnd w:id="0"/>
      <w:r w:rsidRPr="008740C5">
        <w:rPr>
          <w:rFonts w:ascii="Arial Narrow" w:hAnsi="Arial Narrow"/>
          <w:i/>
          <w:sz w:val="14"/>
          <w:szCs w:val="14"/>
          <w:lang w:val="en-GB"/>
        </w:rPr>
        <w:t>ly</w:t>
      </w:r>
      <w:proofErr w:type="gramEnd"/>
      <w:r w:rsidRPr="008740C5">
        <w:rPr>
          <w:rFonts w:ascii="Arial Narrow" w:hAnsi="Arial Narrow"/>
          <w:i/>
          <w:sz w:val="14"/>
          <w:szCs w:val="14"/>
          <w:lang w:val="en-GB"/>
        </w:rPr>
        <w:t xml:space="preserve"> the change in asset value and the impact of the dividend were taken </w:t>
      </w:r>
      <w:r w:rsidRPr="00827F8F">
        <w:rPr>
          <w:rFonts w:ascii="Arial Narrow" w:hAnsi="Arial Narrow"/>
          <w:i/>
          <w:sz w:val="14"/>
          <w:szCs w:val="14"/>
          <w:lang w:val="en-GB"/>
        </w:rPr>
        <w:t>into account in this figure</w:t>
      </w:r>
      <w:r w:rsidR="003F7035" w:rsidRPr="00827F8F">
        <w:rPr>
          <w:rFonts w:ascii="Arial Narrow" w:hAnsi="Arial Narrow"/>
          <w:i/>
          <w:sz w:val="14"/>
          <w:szCs w:val="14"/>
          <w:lang w:val="en-GB"/>
        </w:rPr>
        <w:t xml:space="preserve">. The estimated solvency ratio </w:t>
      </w:r>
      <w:proofErr w:type="gramStart"/>
      <w:r w:rsidR="003F7035" w:rsidRPr="00827F8F">
        <w:rPr>
          <w:rFonts w:ascii="Arial Narrow" w:hAnsi="Arial Narrow"/>
          <w:i/>
          <w:sz w:val="14"/>
          <w:szCs w:val="14"/>
          <w:lang w:val="en-GB"/>
        </w:rPr>
        <w:t>is not audited</w:t>
      </w:r>
      <w:proofErr w:type="gramEnd"/>
      <w:r w:rsidRPr="008740C5">
        <w:rPr>
          <w:rFonts w:ascii="Arial Narrow" w:hAnsi="Arial Narrow"/>
          <w:i/>
          <w:sz w:val="14"/>
          <w:szCs w:val="14"/>
          <w:highlight w:val="yellow"/>
          <w:lang w:val="en-GB"/>
        </w:rPr>
        <w:t xml:space="preserve"> </w:t>
      </w:r>
      <w:r w:rsidR="003362A3" w:rsidRPr="008740C5">
        <w:rPr>
          <w:rFonts w:ascii="Arial Narrow" w:hAnsi="Arial Narrow" w:cs="Arial"/>
          <w:bCs/>
          <w:i/>
          <w:highlight w:val="yellow"/>
          <w:lang w:val="en-GB" w:eastAsia="ar-SA"/>
        </w:rPr>
        <w:br w:type="page"/>
      </w:r>
    </w:p>
    <w:p w14:paraId="29D4746B" w14:textId="77777777" w:rsidR="00E0314E" w:rsidRPr="00B30555" w:rsidRDefault="00E0314E" w:rsidP="00022DA0">
      <w:pPr>
        <w:spacing w:after="0" w:line="270" w:lineRule="exact"/>
        <w:rPr>
          <w:rFonts w:ascii="Arial Narrow" w:hAnsi="Arial Narrow" w:cs="Arial"/>
          <w:b/>
          <w:bCs/>
          <w:lang w:val="en-GB" w:eastAsia="ar-SA"/>
        </w:rPr>
      </w:pPr>
      <w:r w:rsidRPr="00B30555">
        <w:rPr>
          <w:rFonts w:ascii="Arial Narrow" w:hAnsi="Arial Narrow" w:cs="Arial"/>
          <w:b/>
          <w:bCs/>
          <w:lang w:val="en-GB" w:eastAsia="ar-SA"/>
        </w:rPr>
        <w:lastRenderedPageBreak/>
        <w:t xml:space="preserve">Key figures at 31 </w:t>
      </w:r>
      <w:r w:rsidR="009113BD">
        <w:rPr>
          <w:rFonts w:ascii="Arial Narrow" w:hAnsi="Arial Narrow" w:cs="Arial"/>
          <w:b/>
          <w:bCs/>
          <w:lang w:val="en-GB" w:eastAsia="ar-SA"/>
        </w:rPr>
        <w:t>March 2020</w:t>
      </w:r>
    </w:p>
    <w:p w14:paraId="5682F0C1" w14:textId="77777777" w:rsidR="00E0314E" w:rsidRPr="00B30555" w:rsidRDefault="00E0314E" w:rsidP="00022DA0">
      <w:pPr>
        <w:tabs>
          <w:tab w:val="center" w:pos="4703"/>
          <w:tab w:val="right" w:pos="9406"/>
        </w:tabs>
        <w:suppressAutoHyphens/>
        <w:spacing w:after="0" w:line="270" w:lineRule="exact"/>
        <w:ind w:left="-851" w:right="360"/>
        <w:rPr>
          <w:rFonts w:ascii="Arial Narrow" w:hAnsi="Arial Narrow" w:cs="Arial"/>
          <w:sz w:val="18"/>
          <w:szCs w:val="18"/>
          <w:highlight w:val="yellow"/>
          <w:lang w:val="en-GB" w:eastAsia="ar-SA"/>
        </w:rPr>
      </w:pPr>
    </w:p>
    <w:p w14:paraId="785B0BAE" w14:textId="32B06BAE" w:rsidR="00E0314E" w:rsidRPr="009E5E1D" w:rsidRDefault="009113BD" w:rsidP="00022DA0">
      <w:pPr>
        <w:pBdr>
          <w:top w:val="single" w:sz="4" w:space="1" w:color="auto"/>
          <w:left w:val="single" w:sz="4" w:space="4" w:color="auto"/>
          <w:bottom w:val="single" w:sz="4" w:space="1" w:color="auto"/>
          <w:right w:val="single" w:sz="4" w:space="4" w:color="auto"/>
        </w:pBdr>
        <w:suppressAutoHyphens/>
        <w:spacing w:after="0" w:line="270" w:lineRule="exact"/>
        <w:rPr>
          <w:rFonts w:ascii="Arial Narrow" w:hAnsi="Arial Narrow" w:cs="Arial"/>
          <w:sz w:val="18"/>
          <w:szCs w:val="16"/>
          <w:lang w:val="en-GB" w:eastAsia="ar-SA"/>
        </w:rPr>
      </w:pPr>
      <w:r w:rsidRPr="009E5E1D">
        <w:rPr>
          <w:rFonts w:ascii="Arial Narrow" w:hAnsi="Arial Narrow" w:cs="Arial"/>
          <w:sz w:val="18"/>
          <w:szCs w:val="16"/>
          <w:lang w:val="en-GB" w:eastAsia="ar-SA"/>
        </w:rPr>
        <w:t>The Board of Directors of COFACE SA examined the summary consolidated financial statements for the first three months (non-audited) during its meeting on 23 April 2020. The Audit Committee ha</w:t>
      </w:r>
      <w:r w:rsidR="00111820" w:rsidRPr="009E5E1D">
        <w:rPr>
          <w:rFonts w:ascii="Arial Narrow" w:hAnsi="Arial Narrow" w:cs="Arial"/>
          <w:sz w:val="18"/>
          <w:szCs w:val="16"/>
          <w:lang w:val="en-GB" w:eastAsia="ar-SA"/>
        </w:rPr>
        <w:t>d</w:t>
      </w:r>
      <w:r w:rsidRPr="009E5E1D">
        <w:rPr>
          <w:rFonts w:ascii="Arial Narrow" w:hAnsi="Arial Narrow" w:cs="Arial"/>
          <w:sz w:val="18"/>
          <w:szCs w:val="16"/>
          <w:lang w:val="en-GB" w:eastAsia="ar-SA"/>
        </w:rPr>
        <w:t xml:space="preserve"> previously reviewed them</w:t>
      </w:r>
      <w:r w:rsidR="00111820" w:rsidRPr="009E5E1D">
        <w:rPr>
          <w:rFonts w:ascii="Arial Narrow" w:hAnsi="Arial Narrow" w:cs="Arial"/>
          <w:sz w:val="18"/>
          <w:szCs w:val="16"/>
          <w:lang w:val="en-GB" w:eastAsia="ar-SA"/>
        </w:rPr>
        <w:t xml:space="preserve"> at its meeting on 22 April 2020</w:t>
      </w:r>
      <w:r w:rsidR="009E5E1D">
        <w:rPr>
          <w:rFonts w:ascii="Arial Narrow" w:hAnsi="Arial Narrow" w:cs="Arial"/>
          <w:sz w:val="18"/>
          <w:szCs w:val="16"/>
          <w:lang w:val="en-GB" w:eastAsia="ar-SA"/>
        </w:rPr>
        <w:t>.</w:t>
      </w:r>
    </w:p>
    <w:p w14:paraId="57DBFDCF" w14:textId="77777777" w:rsidR="00E0314E" w:rsidRPr="00B30555" w:rsidRDefault="00E0314E" w:rsidP="00022DA0">
      <w:pPr>
        <w:pStyle w:val="Notedebasdepage"/>
        <w:spacing w:after="0"/>
        <w:rPr>
          <w:rFonts w:ascii="Arial Narrow" w:hAnsi="Arial Narrow"/>
          <w:sz w:val="14"/>
          <w:szCs w:val="14"/>
          <w:lang w:val="en-GB"/>
        </w:rPr>
      </w:pPr>
    </w:p>
    <w:p w14:paraId="2DA4C1BF" w14:textId="77777777" w:rsidR="00E0314E" w:rsidRPr="00B30555" w:rsidRDefault="00E0314E" w:rsidP="00022DA0">
      <w:pPr>
        <w:pStyle w:val="Notedebasdepage"/>
        <w:spacing w:after="0"/>
        <w:rPr>
          <w:rFonts w:ascii="Arial Narrow" w:hAnsi="Arial Narrow"/>
          <w:sz w:val="14"/>
          <w:szCs w:val="14"/>
          <w:lang w:val="en-GB"/>
        </w:rPr>
      </w:pPr>
    </w:p>
    <w:tbl>
      <w:tblPr>
        <w:tblW w:w="8647" w:type="dxa"/>
        <w:tblLook w:val="04A0" w:firstRow="1" w:lastRow="0" w:firstColumn="1" w:lastColumn="0" w:noHBand="0" w:noVBand="1"/>
      </w:tblPr>
      <w:tblGrid>
        <w:gridCol w:w="4842"/>
        <w:gridCol w:w="955"/>
        <w:gridCol w:w="1003"/>
        <w:gridCol w:w="895"/>
        <w:gridCol w:w="952"/>
      </w:tblGrid>
      <w:tr w:rsidR="00BF4993" w:rsidRPr="00BF4993" w14:paraId="7338636A" w14:textId="77777777" w:rsidTr="00BF4993">
        <w:trPr>
          <w:trHeight w:val="510"/>
        </w:trPr>
        <w:tc>
          <w:tcPr>
            <w:tcW w:w="4842" w:type="dxa"/>
            <w:tcBorders>
              <w:top w:val="nil"/>
              <w:left w:val="nil"/>
              <w:bottom w:val="nil"/>
              <w:right w:val="nil"/>
            </w:tcBorders>
            <w:shd w:val="clear" w:color="000000" w:fill="03365F"/>
            <w:noWrap/>
            <w:vAlign w:val="center"/>
            <w:hideMark/>
          </w:tcPr>
          <w:p w14:paraId="602BA13E" w14:textId="77777777" w:rsidR="00BF4993" w:rsidRPr="00BF4993" w:rsidRDefault="00BF4993" w:rsidP="00BF4993">
            <w:pPr>
              <w:spacing w:after="0" w:line="240" w:lineRule="auto"/>
              <w:jc w:val="lef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Income statements items in €m</w:t>
            </w:r>
          </w:p>
        </w:tc>
        <w:tc>
          <w:tcPr>
            <w:tcW w:w="955" w:type="dxa"/>
            <w:tcBorders>
              <w:top w:val="nil"/>
              <w:left w:val="nil"/>
              <w:bottom w:val="nil"/>
              <w:right w:val="nil"/>
            </w:tcBorders>
            <w:shd w:val="clear" w:color="000000" w:fill="03365F"/>
            <w:vAlign w:val="center"/>
            <w:hideMark/>
          </w:tcPr>
          <w:p w14:paraId="04D5B6A5" w14:textId="77777777" w:rsidR="00BF4993" w:rsidRPr="00BF4993" w:rsidRDefault="00BF4993" w:rsidP="00BF4993">
            <w:pPr>
              <w:spacing w:after="0" w:line="240" w:lineRule="auto"/>
              <w:jc w:val="righ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Q1-19</w:t>
            </w:r>
          </w:p>
        </w:tc>
        <w:tc>
          <w:tcPr>
            <w:tcW w:w="1003" w:type="dxa"/>
            <w:tcBorders>
              <w:top w:val="nil"/>
              <w:left w:val="nil"/>
              <w:bottom w:val="nil"/>
              <w:right w:val="nil"/>
            </w:tcBorders>
            <w:shd w:val="clear" w:color="000000" w:fill="18B3B9"/>
            <w:noWrap/>
            <w:vAlign w:val="center"/>
            <w:hideMark/>
          </w:tcPr>
          <w:p w14:paraId="15CC99BB" w14:textId="77777777" w:rsidR="00BF4993" w:rsidRPr="00BF4993" w:rsidRDefault="00BF4993" w:rsidP="00BF4993">
            <w:pPr>
              <w:spacing w:after="0" w:line="240" w:lineRule="auto"/>
              <w:jc w:val="righ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Q1-20</w:t>
            </w:r>
          </w:p>
        </w:tc>
        <w:tc>
          <w:tcPr>
            <w:tcW w:w="895" w:type="dxa"/>
            <w:tcBorders>
              <w:top w:val="nil"/>
              <w:left w:val="nil"/>
              <w:bottom w:val="nil"/>
              <w:right w:val="nil"/>
            </w:tcBorders>
            <w:shd w:val="clear" w:color="000000" w:fill="03365F"/>
            <w:noWrap/>
            <w:vAlign w:val="center"/>
            <w:hideMark/>
          </w:tcPr>
          <w:p w14:paraId="653260D7" w14:textId="77777777" w:rsidR="00BF4993" w:rsidRPr="00BF4993" w:rsidRDefault="00BF4993" w:rsidP="00BF4993">
            <w:pPr>
              <w:spacing w:after="0" w:line="240" w:lineRule="auto"/>
              <w:jc w:val="center"/>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w:t>
            </w:r>
          </w:p>
        </w:tc>
        <w:tc>
          <w:tcPr>
            <w:tcW w:w="952" w:type="dxa"/>
            <w:tcBorders>
              <w:top w:val="nil"/>
              <w:left w:val="nil"/>
              <w:bottom w:val="nil"/>
              <w:right w:val="nil"/>
            </w:tcBorders>
            <w:shd w:val="clear" w:color="000000" w:fill="03365F"/>
            <w:vAlign w:val="center"/>
            <w:hideMark/>
          </w:tcPr>
          <w:p w14:paraId="58BA0400" w14:textId="47979AC5" w:rsidR="00BF4993" w:rsidRPr="00BF4993" w:rsidRDefault="00BF4993" w:rsidP="00BF4993">
            <w:pPr>
              <w:spacing w:after="0" w:line="240" w:lineRule="auto"/>
              <w:jc w:val="center"/>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 xml:space="preserve">% </w:t>
            </w:r>
            <w:r w:rsidRPr="00BF4993">
              <w:rPr>
                <w:rFonts w:ascii="Arial Narrow" w:eastAsia="Times New Roman" w:hAnsi="Arial Narrow" w:cs="Calibri"/>
                <w:b/>
                <w:bCs/>
                <w:color w:val="FFFFFF"/>
                <w:lang w:val="en-GB" w:eastAsia="en-GB"/>
              </w:rPr>
              <w:br/>
              <w:t>ex. FX</w:t>
            </w:r>
            <w:r>
              <w:rPr>
                <w:rFonts w:ascii="Arial Narrow" w:eastAsia="Times New Roman" w:hAnsi="Arial Narrow" w:cs="Calibri"/>
                <w:b/>
                <w:bCs/>
                <w:color w:val="FFFFFF"/>
                <w:lang w:val="en-GB" w:eastAsia="en-GB"/>
              </w:rPr>
              <w:t>*</w:t>
            </w:r>
          </w:p>
        </w:tc>
      </w:tr>
      <w:tr w:rsidR="00BF4993" w:rsidRPr="00BF4993" w14:paraId="74DE2D76" w14:textId="77777777" w:rsidTr="00BF4993">
        <w:trPr>
          <w:trHeight w:val="300"/>
        </w:trPr>
        <w:tc>
          <w:tcPr>
            <w:tcW w:w="4842" w:type="dxa"/>
            <w:tcBorders>
              <w:top w:val="single" w:sz="4" w:space="0" w:color="BFBFBF"/>
              <w:left w:val="nil"/>
              <w:bottom w:val="single" w:sz="4" w:space="0" w:color="BFBFBF"/>
              <w:right w:val="nil"/>
            </w:tcBorders>
            <w:shd w:val="clear" w:color="auto" w:fill="auto"/>
            <w:noWrap/>
            <w:vAlign w:val="bottom"/>
            <w:hideMark/>
          </w:tcPr>
          <w:p w14:paraId="554ADD88"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Gross earned premiums</w:t>
            </w:r>
          </w:p>
        </w:tc>
        <w:tc>
          <w:tcPr>
            <w:tcW w:w="955" w:type="dxa"/>
            <w:tcBorders>
              <w:top w:val="single" w:sz="4" w:space="0" w:color="BFBFBF"/>
              <w:left w:val="nil"/>
              <w:bottom w:val="single" w:sz="4" w:space="0" w:color="BFBFBF"/>
              <w:right w:val="nil"/>
            </w:tcBorders>
            <w:shd w:val="clear" w:color="000000" w:fill="F2F2F2"/>
            <w:noWrap/>
            <w:vAlign w:val="bottom"/>
            <w:hideMark/>
          </w:tcPr>
          <w:p w14:paraId="34218658"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299.0</w:t>
            </w:r>
          </w:p>
        </w:tc>
        <w:tc>
          <w:tcPr>
            <w:tcW w:w="1003" w:type="dxa"/>
            <w:tcBorders>
              <w:top w:val="single" w:sz="4" w:space="0" w:color="BFBFBF"/>
              <w:left w:val="nil"/>
              <w:bottom w:val="single" w:sz="4" w:space="0" w:color="BFBFBF"/>
              <w:right w:val="nil"/>
            </w:tcBorders>
            <w:shd w:val="clear" w:color="000000" w:fill="D1F0F1"/>
            <w:noWrap/>
            <w:vAlign w:val="bottom"/>
            <w:hideMark/>
          </w:tcPr>
          <w:p w14:paraId="052BB2F1"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301.2</w:t>
            </w:r>
          </w:p>
        </w:tc>
        <w:tc>
          <w:tcPr>
            <w:tcW w:w="895" w:type="dxa"/>
            <w:tcBorders>
              <w:top w:val="single" w:sz="4" w:space="0" w:color="BFBFBF"/>
              <w:left w:val="nil"/>
              <w:bottom w:val="single" w:sz="4" w:space="0" w:color="BFBFBF"/>
              <w:right w:val="nil"/>
            </w:tcBorders>
            <w:shd w:val="clear" w:color="auto" w:fill="auto"/>
            <w:noWrap/>
            <w:vAlign w:val="bottom"/>
            <w:hideMark/>
          </w:tcPr>
          <w:p w14:paraId="787C7A46"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+0.7%</w:t>
            </w:r>
          </w:p>
        </w:tc>
        <w:tc>
          <w:tcPr>
            <w:tcW w:w="952" w:type="dxa"/>
            <w:tcBorders>
              <w:top w:val="single" w:sz="4" w:space="0" w:color="BFBFBF"/>
              <w:left w:val="nil"/>
              <w:bottom w:val="single" w:sz="4" w:space="0" w:color="BFBFBF"/>
              <w:right w:val="nil"/>
            </w:tcBorders>
            <w:shd w:val="clear" w:color="000000" w:fill="FFFFFF"/>
            <w:noWrap/>
            <w:vAlign w:val="bottom"/>
            <w:hideMark/>
          </w:tcPr>
          <w:p w14:paraId="5A6BCE82"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+0.3%</w:t>
            </w:r>
          </w:p>
        </w:tc>
      </w:tr>
      <w:tr w:rsidR="00BF4993" w:rsidRPr="00BF4993" w14:paraId="7431C095" w14:textId="77777777" w:rsidTr="00BF4993">
        <w:trPr>
          <w:trHeight w:val="300"/>
        </w:trPr>
        <w:tc>
          <w:tcPr>
            <w:tcW w:w="4842" w:type="dxa"/>
            <w:tcBorders>
              <w:top w:val="nil"/>
              <w:left w:val="nil"/>
              <w:bottom w:val="nil"/>
              <w:right w:val="nil"/>
            </w:tcBorders>
            <w:shd w:val="clear" w:color="auto" w:fill="auto"/>
            <w:noWrap/>
            <w:vAlign w:val="bottom"/>
            <w:hideMark/>
          </w:tcPr>
          <w:p w14:paraId="0A82F8B6"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Services revenue</w:t>
            </w:r>
          </w:p>
        </w:tc>
        <w:tc>
          <w:tcPr>
            <w:tcW w:w="955" w:type="dxa"/>
            <w:tcBorders>
              <w:top w:val="nil"/>
              <w:left w:val="nil"/>
              <w:bottom w:val="nil"/>
              <w:right w:val="nil"/>
            </w:tcBorders>
            <w:shd w:val="clear" w:color="000000" w:fill="F2F2F2"/>
            <w:noWrap/>
            <w:vAlign w:val="bottom"/>
            <w:hideMark/>
          </w:tcPr>
          <w:p w14:paraId="5D8C26DF"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66.4</w:t>
            </w:r>
          </w:p>
        </w:tc>
        <w:tc>
          <w:tcPr>
            <w:tcW w:w="1003" w:type="dxa"/>
            <w:tcBorders>
              <w:top w:val="nil"/>
              <w:left w:val="nil"/>
              <w:bottom w:val="nil"/>
              <w:right w:val="nil"/>
            </w:tcBorders>
            <w:shd w:val="clear" w:color="000000" w:fill="D1F0F1"/>
            <w:noWrap/>
            <w:vAlign w:val="bottom"/>
            <w:hideMark/>
          </w:tcPr>
          <w:p w14:paraId="64BC2129"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69.3</w:t>
            </w:r>
          </w:p>
        </w:tc>
        <w:tc>
          <w:tcPr>
            <w:tcW w:w="895" w:type="dxa"/>
            <w:tcBorders>
              <w:top w:val="nil"/>
              <w:left w:val="nil"/>
              <w:bottom w:val="nil"/>
              <w:right w:val="nil"/>
            </w:tcBorders>
            <w:shd w:val="clear" w:color="auto" w:fill="auto"/>
            <w:noWrap/>
            <w:vAlign w:val="bottom"/>
            <w:hideMark/>
          </w:tcPr>
          <w:p w14:paraId="20510E2B"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+4.3%</w:t>
            </w:r>
          </w:p>
        </w:tc>
        <w:tc>
          <w:tcPr>
            <w:tcW w:w="952" w:type="dxa"/>
            <w:tcBorders>
              <w:top w:val="nil"/>
              <w:left w:val="nil"/>
              <w:bottom w:val="nil"/>
              <w:right w:val="nil"/>
            </w:tcBorders>
            <w:shd w:val="clear" w:color="000000" w:fill="FFFFFF"/>
            <w:noWrap/>
            <w:vAlign w:val="bottom"/>
            <w:hideMark/>
          </w:tcPr>
          <w:p w14:paraId="60994D27"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+3.6%</w:t>
            </w:r>
          </w:p>
        </w:tc>
      </w:tr>
      <w:tr w:rsidR="00BF4993" w:rsidRPr="00BF4993" w14:paraId="30CF0A72" w14:textId="77777777" w:rsidTr="00BF4993">
        <w:trPr>
          <w:trHeight w:val="315"/>
        </w:trPr>
        <w:tc>
          <w:tcPr>
            <w:tcW w:w="4842" w:type="dxa"/>
            <w:tcBorders>
              <w:top w:val="single" w:sz="4" w:space="0" w:color="18B3B9"/>
              <w:left w:val="nil"/>
              <w:bottom w:val="single" w:sz="8" w:space="0" w:color="18B3B9"/>
              <w:right w:val="nil"/>
            </w:tcBorders>
            <w:shd w:val="clear" w:color="auto" w:fill="auto"/>
            <w:noWrap/>
            <w:vAlign w:val="bottom"/>
            <w:hideMark/>
          </w:tcPr>
          <w:p w14:paraId="33B61827" w14:textId="77777777" w:rsidR="00BF4993" w:rsidRPr="00BF4993" w:rsidRDefault="00BF4993" w:rsidP="00BF4993">
            <w:pPr>
              <w:spacing w:after="0" w:line="240" w:lineRule="auto"/>
              <w:jc w:val="lef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REVENUE</w:t>
            </w:r>
          </w:p>
        </w:tc>
        <w:tc>
          <w:tcPr>
            <w:tcW w:w="955" w:type="dxa"/>
            <w:tcBorders>
              <w:top w:val="single" w:sz="4" w:space="0" w:color="18B3B9"/>
              <w:left w:val="nil"/>
              <w:bottom w:val="single" w:sz="8" w:space="0" w:color="18B3B9"/>
              <w:right w:val="nil"/>
            </w:tcBorders>
            <w:shd w:val="clear" w:color="000000" w:fill="F2F2F2"/>
            <w:noWrap/>
            <w:vAlign w:val="bottom"/>
            <w:hideMark/>
          </w:tcPr>
          <w:p w14:paraId="6BC96C1A"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365.5</w:t>
            </w:r>
          </w:p>
        </w:tc>
        <w:tc>
          <w:tcPr>
            <w:tcW w:w="1003" w:type="dxa"/>
            <w:tcBorders>
              <w:top w:val="single" w:sz="4" w:space="0" w:color="18B3B9"/>
              <w:left w:val="nil"/>
              <w:bottom w:val="single" w:sz="8" w:space="0" w:color="18B3B9"/>
              <w:right w:val="nil"/>
            </w:tcBorders>
            <w:shd w:val="clear" w:color="000000" w:fill="D1F0F1"/>
            <w:noWrap/>
            <w:vAlign w:val="bottom"/>
            <w:hideMark/>
          </w:tcPr>
          <w:p w14:paraId="29451CC7"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370.5</w:t>
            </w:r>
          </w:p>
        </w:tc>
        <w:tc>
          <w:tcPr>
            <w:tcW w:w="895" w:type="dxa"/>
            <w:tcBorders>
              <w:top w:val="single" w:sz="4" w:space="0" w:color="18B3B9"/>
              <w:left w:val="nil"/>
              <w:bottom w:val="single" w:sz="8" w:space="0" w:color="18B3B9"/>
              <w:right w:val="nil"/>
            </w:tcBorders>
            <w:shd w:val="clear" w:color="auto" w:fill="auto"/>
            <w:noWrap/>
            <w:vAlign w:val="bottom"/>
            <w:hideMark/>
          </w:tcPr>
          <w:p w14:paraId="5B6DD788"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+1.4%</w:t>
            </w:r>
          </w:p>
        </w:tc>
        <w:tc>
          <w:tcPr>
            <w:tcW w:w="952" w:type="dxa"/>
            <w:tcBorders>
              <w:top w:val="single" w:sz="4" w:space="0" w:color="18B3B9"/>
              <w:left w:val="nil"/>
              <w:bottom w:val="single" w:sz="8" w:space="0" w:color="18B3B9"/>
              <w:right w:val="nil"/>
            </w:tcBorders>
            <w:shd w:val="clear" w:color="000000" w:fill="FFFFFF"/>
            <w:noWrap/>
            <w:vAlign w:val="bottom"/>
            <w:hideMark/>
          </w:tcPr>
          <w:p w14:paraId="1FF2630F"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+0.9%</w:t>
            </w:r>
          </w:p>
        </w:tc>
      </w:tr>
      <w:tr w:rsidR="00BF4993" w:rsidRPr="00BF4993" w14:paraId="1B6A134C" w14:textId="77777777" w:rsidTr="00BF4993">
        <w:trPr>
          <w:trHeight w:val="300"/>
        </w:trPr>
        <w:tc>
          <w:tcPr>
            <w:tcW w:w="4842" w:type="dxa"/>
            <w:tcBorders>
              <w:top w:val="single" w:sz="4" w:space="0" w:color="BFBFBF"/>
              <w:left w:val="nil"/>
              <w:bottom w:val="single" w:sz="4" w:space="0" w:color="BFBFBF"/>
              <w:right w:val="nil"/>
            </w:tcBorders>
            <w:shd w:val="clear" w:color="auto" w:fill="auto"/>
            <w:noWrap/>
            <w:vAlign w:val="bottom"/>
            <w:hideMark/>
          </w:tcPr>
          <w:p w14:paraId="11D082A5"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UNDERWRITING INCOME/LOSS AFTER REINSURANCE</w:t>
            </w:r>
          </w:p>
        </w:tc>
        <w:tc>
          <w:tcPr>
            <w:tcW w:w="955" w:type="dxa"/>
            <w:tcBorders>
              <w:top w:val="single" w:sz="4" w:space="0" w:color="BFBFBF"/>
              <w:left w:val="nil"/>
              <w:bottom w:val="single" w:sz="4" w:space="0" w:color="BFBFBF"/>
              <w:right w:val="nil"/>
            </w:tcBorders>
            <w:shd w:val="clear" w:color="000000" w:fill="F2F2F2"/>
            <w:noWrap/>
            <w:vAlign w:val="bottom"/>
            <w:hideMark/>
          </w:tcPr>
          <w:p w14:paraId="0730B582"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52.0</w:t>
            </w:r>
          </w:p>
        </w:tc>
        <w:tc>
          <w:tcPr>
            <w:tcW w:w="1003" w:type="dxa"/>
            <w:tcBorders>
              <w:top w:val="single" w:sz="4" w:space="0" w:color="BFBFBF"/>
              <w:left w:val="nil"/>
              <w:bottom w:val="single" w:sz="4" w:space="0" w:color="BFBFBF"/>
              <w:right w:val="nil"/>
            </w:tcBorders>
            <w:shd w:val="clear" w:color="000000" w:fill="D1F0F1"/>
            <w:noWrap/>
            <w:vAlign w:val="bottom"/>
            <w:hideMark/>
          </w:tcPr>
          <w:p w14:paraId="72AFED3A"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28.2</w:t>
            </w:r>
          </w:p>
        </w:tc>
        <w:tc>
          <w:tcPr>
            <w:tcW w:w="895" w:type="dxa"/>
            <w:tcBorders>
              <w:top w:val="single" w:sz="4" w:space="0" w:color="BFBFBF"/>
              <w:left w:val="nil"/>
              <w:bottom w:val="nil"/>
              <w:right w:val="nil"/>
            </w:tcBorders>
            <w:shd w:val="clear" w:color="auto" w:fill="auto"/>
            <w:noWrap/>
            <w:vAlign w:val="bottom"/>
            <w:hideMark/>
          </w:tcPr>
          <w:p w14:paraId="622CC254"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(45.7)%</w:t>
            </w:r>
          </w:p>
        </w:tc>
        <w:tc>
          <w:tcPr>
            <w:tcW w:w="952" w:type="dxa"/>
            <w:tcBorders>
              <w:top w:val="single" w:sz="4" w:space="0" w:color="BFBFBF"/>
              <w:left w:val="nil"/>
              <w:bottom w:val="single" w:sz="4" w:space="0" w:color="BFBFBF"/>
              <w:right w:val="nil"/>
            </w:tcBorders>
            <w:shd w:val="clear" w:color="000000" w:fill="FFFFFF"/>
            <w:noWrap/>
            <w:vAlign w:val="bottom"/>
            <w:hideMark/>
          </w:tcPr>
          <w:p w14:paraId="6A27FEE2"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(41.8)%</w:t>
            </w:r>
          </w:p>
        </w:tc>
      </w:tr>
      <w:tr w:rsidR="00BF4993" w:rsidRPr="00BF4993" w14:paraId="77CF90CC" w14:textId="77777777" w:rsidTr="00BF4993">
        <w:trPr>
          <w:trHeight w:val="300"/>
        </w:trPr>
        <w:tc>
          <w:tcPr>
            <w:tcW w:w="4842" w:type="dxa"/>
            <w:tcBorders>
              <w:top w:val="nil"/>
              <w:left w:val="nil"/>
              <w:bottom w:val="nil"/>
              <w:right w:val="nil"/>
            </w:tcBorders>
            <w:shd w:val="clear" w:color="auto" w:fill="auto"/>
            <w:noWrap/>
            <w:vAlign w:val="bottom"/>
            <w:hideMark/>
          </w:tcPr>
          <w:p w14:paraId="4F73135D"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Investment income, net of management expenses</w:t>
            </w:r>
          </w:p>
        </w:tc>
        <w:tc>
          <w:tcPr>
            <w:tcW w:w="955" w:type="dxa"/>
            <w:tcBorders>
              <w:top w:val="nil"/>
              <w:left w:val="nil"/>
              <w:bottom w:val="nil"/>
              <w:right w:val="nil"/>
            </w:tcBorders>
            <w:shd w:val="clear" w:color="000000" w:fill="F2F2F2"/>
            <w:noWrap/>
            <w:vAlign w:val="bottom"/>
            <w:hideMark/>
          </w:tcPr>
          <w:p w14:paraId="0CBABEF0"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5.1</w:t>
            </w:r>
          </w:p>
        </w:tc>
        <w:tc>
          <w:tcPr>
            <w:tcW w:w="1003" w:type="dxa"/>
            <w:tcBorders>
              <w:top w:val="nil"/>
              <w:left w:val="nil"/>
              <w:bottom w:val="nil"/>
              <w:right w:val="nil"/>
            </w:tcBorders>
            <w:shd w:val="clear" w:color="000000" w:fill="D1F0F1"/>
            <w:noWrap/>
            <w:vAlign w:val="bottom"/>
            <w:hideMark/>
          </w:tcPr>
          <w:p w14:paraId="733BC318"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2.7</w:t>
            </w:r>
          </w:p>
        </w:tc>
        <w:tc>
          <w:tcPr>
            <w:tcW w:w="895" w:type="dxa"/>
            <w:tcBorders>
              <w:top w:val="single" w:sz="4" w:space="0" w:color="BFBFBF"/>
              <w:left w:val="nil"/>
              <w:bottom w:val="nil"/>
              <w:right w:val="nil"/>
            </w:tcBorders>
            <w:shd w:val="clear" w:color="auto" w:fill="auto"/>
            <w:noWrap/>
            <w:vAlign w:val="bottom"/>
            <w:hideMark/>
          </w:tcPr>
          <w:p w14:paraId="56B85B9D"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(47.8)%</w:t>
            </w:r>
          </w:p>
        </w:tc>
        <w:tc>
          <w:tcPr>
            <w:tcW w:w="952" w:type="dxa"/>
            <w:tcBorders>
              <w:top w:val="nil"/>
              <w:left w:val="nil"/>
              <w:bottom w:val="nil"/>
              <w:right w:val="nil"/>
            </w:tcBorders>
            <w:shd w:val="clear" w:color="000000" w:fill="FFFFFF"/>
            <w:noWrap/>
            <w:vAlign w:val="bottom"/>
            <w:hideMark/>
          </w:tcPr>
          <w:p w14:paraId="799F8573"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(36.7)%</w:t>
            </w:r>
          </w:p>
        </w:tc>
      </w:tr>
      <w:tr w:rsidR="00BF4993" w:rsidRPr="00BF4993" w14:paraId="63E6B204" w14:textId="77777777" w:rsidTr="00BF4993">
        <w:trPr>
          <w:trHeight w:val="315"/>
        </w:trPr>
        <w:tc>
          <w:tcPr>
            <w:tcW w:w="4842" w:type="dxa"/>
            <w:tcBorders>
              <w:top w:val="single" w:sz="4" w:space="0" w:color="18B3B9"/>
              <w:left w:val="nil"/>
              <w:bottom w:val="single" w:sz="8" w:space="0" w:color="18B3B9"/>
              <w:right w:val="nil"/>
            </w:tcBorders>
            <w:shd w:val="clear" w:color="auto" w:fill="auto"/>
            <w:noWrap/>
            <w:vAlign w:val="bottom"/>
            <w:hideMark/>
          </w:tcPr>
          <w:p w14:paraId="70F2E468" w14:textId="77777777" w:rsidR="00BF4993" w:rsidRPr="00BF4993" w:rsidRDefault="00BF4993" w:rsidP="00BF4993">
            <w:pPr>
              <w:spacing w:after="0" w:line="240" w:lineRule="auto"/>
              <w:jc w:val="lef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CURRENT OPERATING INCOME</w:t>
            </w:r>
          </w:p>
        </w:tc>
        <w:tc>
          <w:tcPr>
            <w:tcW w:w="955" w:type="dxa"/>
            <w:tcBorders>
              <w:top w:val="single" w:sz="4" w:space="0" w:color="18B3B9"/>
              <w:left w:val="nil"/>
              <w:bottom w:val="single" w:sz="8" w:space="0" w:color="18B3B9"/>
              <w:right w:val="nil"/>
            </w:tcBorders>
            <w:shd w:val="clear" w:color="000000" w:fill="F2F2F2"/>
            <w:noWrap/>
            <w:vAlign w:val="bottom"/>
            <w:hideMark/>
          </w:tcPr>
          <w:p w14:paraId="31316530"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57.2</w:t>
            </w:r>
          </w:p>
        </w:tc>
        <w:tc>
          <w:tcPr>
            <w:tcW w:w="1003" w:type="dxa"/>
            <w:tcBorders>
              <w:top w:val="single" w:sz="4" w:space="0" w:color="18B3B9"/>
              <w:left w:val="nil"/>
              <w:bottom w:val="single" w:sz="8" w:space="0" w:color="18B3B9"/>
              <w:right w:val="nil"/>
            </w:tcBorders>
            <w:shd w:val="clear" w:color="000000" w:fill="D1F0F1"/>
            <w:noWrap/>
            <w:vAlign w:val="bottom"/>
            <w:hideMark/>
          </w:tcPr>
          <w:p w14:paraId="4F03C292"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30.9</w:t>
            </w:r>
          </w:p>
        </w:tc>
        <w:tc>
          <w:tcPr>
            <w:tcW w:w="895" w:type="dxa"/>
            <w:tcBorders>
              <w:top w:val="single" w:sz="4" w:space="0" w:color="18B3B9"/>
              <w:left w:val="nil"/>
              <w:bottom w:val="single" w:sz="8" w:space="0" w:color="18B3B9"/>
              <w:right w:val="nil"/>
            </w:tcBorders>
            <w:shd w:val="clear" w:color="auto" w:fill="auto"/>
            <w:noWrap/>
            <w:vAlign w:val="bottom"/>
            <w:hideMark/>
          </w:tcPr>
          <w:p w14:paraId="5E4C369A"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-45.9%</w:t>
            </w:r>
          </w:p>
        </w:tc>
        <w:tc>
          <w:tcPr>
            <w:tcW w:w="952" w:type="dxa"/>
            <w:tcBorders>
              <w:top w:val="single" w:sz="4" w:space="0" w:color="18B3B9"/>
              <w:left w:val="nil"/>
              <w:bottom w:val="single" w:sz="8" w:space="0" w:color="18B3B9"/>
              <w:right w:val="nil"/>
            </w:tcBorders>
            <w:shd w:val="clear" w:color="000000" w:fill="FFFFFF"/>
            <w:noWrap/>
            <w:vAlign w:val="bottom"/>
            <w:hideMark/>
          </w:tcPr>
          <w:p w14:paraId="2CD78A70"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(41.6)%</w:t>
            </w:r>
          </w:p>
        </w:tc>
      </w:tr>
      <w:tr w:rsidR="00BF4993" w:rsidRPr="00BF4993" w14:paraId="5D99FB93" w14:textId="77777777" w:rsidTr="00BF4993">
        <w:trPr>
          <w:trHeight w:val="300"/>
        </w:trPr>
        <w:tc>
          <w:tcPr>
            <w:tcW w:w="4842" w:type="dxa"/>
            <w:tcBorders>
              <w:top w:val="nil"/>
              <w:left w:val="nil"/>
              <w:bottom w:val="nil"/>
              <w:right w:val="nil"/>
            </w:tcBorders>
            <w:shd w:val="clear" w:color="auto" w:fill="auto"/>
            <w:noWrap/>
            <w:vAlign w:val="bottom"/>
            <w:hideMark/>
          </w:tcPr>
          <w:p w14:paraId="244840A9"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Other operating income / expenses</w:t>
            </w:r>
          </w:p>
        </w:tc>
        <w:tc>
          <w:tcPr>
            <w:tcW w:w="955" w:type="dxa"/>
            <w:tcBorders>
              <w:top w:val="nil"/>
              <w:left w:val="nil"/>
              <w:bottom w:val="nil"/>
              <w:right w:val="nil"/>
            </w:tcBorders>
            <w:shd w:val="clear" w:color="000000" w:fill="F2F2F2"/>
            <w:noWrap/>
            <w:vAlign w:val="center"/>
            <w:hideMark/>
          </w:tcPr>
          <w:p w14:paraId="02E55AE1"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(0.2)</w:t>
            </w:r>
          </w:p>
        </w:tc>
        <w:tc>
          <w:tcPr>
            <w:tcW w:w="1003" w:type="dxa"/>
            <w:tcBorders>
              <w:top w:val="nil"/>
              <w:left w:val="nil"/>
              <w:bottom w:val="nil"/>
              <w:right w:val="nil"/>
            </w:tcBorders>
            <w:shd w:val="clear" w:color="000000" w:fill="D1F0F1"/>
            <w:noWrap/>
            <w:vAlign w:val="center"/>
            <w:hideMark/>
          </w:tcPr>
          <w:p w14:paraId="33DC2828"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(0.2)</w:t>
            </w:r>
          </w:p>
        </w:tc>
        <w:tc>
          <w:tcPr>
            <w:tcW w:w="895" w:type="dxa"/>
            <w:tcBorders>
              <w:top w:val="nil"/>
              <w:left w:val="nil"/>
              <w:bottom w:val="nil"/>
              <w:right w:val="nil"/>
            </w:tcBorders>
            <w:shd w:val="clear" w:color="000000" w:fill="FFFFFF"/>
            <w:noWrap/>
            <w:vAlign w:val="bottom"/>
            <w:hideMark/>
          </w:tcPr>
          <w:p w14:paraId="1FFD45C6"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(20.5)%</w:t>
            </w:r>
          </w:p>
        </w:tc>
        <w:tc>
          <w:tcPr>
            <w:tcW w:w="952" w:type="dxa"/>
            <w:tcBorders>
              <w:top w:val="nil"/>
              <w:left w:val="nil"/>
              <w:bottom w:val="nil"/>
              <w:right w:val="nil"/>
            </w:tcBorders>
            <w:shd w:val="clear" w:color="000000" w:fill="FFFFFF"/>
            <w:noWrap/>
            <w:vAlign w:val="bottom"/>
            <w:hideMark/>
          </w:tcPr>
          <w:p w14:paraId="526A9319"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(13.0)%</w:t>
            </w:r>
          </w:p>
        </w:tc>
      </w:tr>
      <w:tr w:rsidR="00BF4993" w:rsidRPr="00BF4993" w14:paraId="16018D8A" w14:textId="77777777" w:rsidTr="00BF4993">
        <w:trPr>
          <w:trHeight w:val="315"/>
        </w:trPr>
        <w:tc>
          <w:tcPr>
            <w:tcW w:w="4842" w:type="dxa"/>
            <w:tcBorders>
              <w:top w:val="single" w:sz="4" w:space="0" w:color="18B3B9"/>
              <w:left w:val="nil"/>
              <w:bottom w:val="nil"/>
              <w:right w:val="nil"/>
            </w:tcBorders>
            <w:shd w:val="clear" w:color="auto" w:fill="auto"/>
            <w:noWrap/>
            <w:vAlign w:val="bottom"/>
            <w:hideMark/>
          </w:tcPr>
          <w:p w14:paraId="775519E7" w14:textId="77777777" w:rsidR="00BF4993" w:rsidRPr="00BF4993" w:rsidRDefault="00BF4993" w:rsidP="00BF4993">
            <w:pPr>
              <w:spacing w:after="0" w:line="240" w:lineRule="auto"/>
              <w:jc w:val="lef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OPERATING INCOME</w:t>
            </w:r>
          </w:p>
        </w:tc>
        <w:tc>
          <w:tcPr>
            <w:tcW w:w="955" w:type="dxa"/>
            <w:tcBorders>
              <w:top w:val="single" w:sz="4" w:space="0" w:color="18B3B9"/>
              <w:left w:val="nil"/>
              <w:bottom w:val="nil"/>
              <w:right w:val="nil"/>
            </w:tcBorders>
            <w:shd w:val="clear" w:color="000000" w:fill="F2F2F2"/>
            <w:noWrap/>
            <w:vAlign w:val="bottom"/>
            <w:hideMark/>
          </w:tcPr>
          <w:p w14:paraId="16CFBB84"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56.9</w:t>
            </w:r>
          </w:p>
        </w:tc>
        <w:tc>
          <w:tcPr>
            <w:tcW w:w="1003" w:type="dxa"/>
            <w:tcBorders>
              <w:top w:val="single" w:sz="4" w:space="0" w:color="18B3B9"/>
              <w:left w:val="nil"/>
              <w:bottom w:val="nil"/>
              <w:right w:val="nil"/>
            </w:tcBorders>
            <w:shd w:val="clear" w:color="000000" w:fill="D1F0F1"/>
            <w:noWrap/>
            <w:vAlign w:val="bottom"/>
            <w:hideMark/>
          </w:tcPr>
          <w:p w14:paraId="3A596F86"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30.7</w:t>
            </w:r>
          </w:p>
        </w:tc>
        <w:tc>
          <w:tcPr>
            <w:tcW w:w="895" w:type="dxa"/>
            <w:tcBorders>
              <w:top w:val="single" w:sz="4" w:space="0" w:color="18B3B9"/>
              <w:left w:val="nil"/>
              <w:bottom w:val="nil"/>
              <w:right w:val="nil"/>
            </w:tcBorders>
            <w:shd w:val="clear" w:color="auto" w:fill="auto"/>
            <w:noWrap/>
            <w:vAlign w:val="bottom"/>
            <w:hideMark/>
          </w:tcPr>
          <w:p w14:paraId="141846D7"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-46.0%</w:t>
            </w:r>
          </w:p>
        </w:tc>
        <w:tc>
          <w:tcPr>
            <w:tcW w:w="952" w:type="dxa"/>
            <w:tcBorders>
              <w:top w:val="single" w:sz="4" w:space="0" w:color="18B3B9"/>
              <w:left w:val="nil"/>
              <w:bottom w:val="nil"/>
              <w:right w:val="nil"/>
            </w:tcBorders>
            <w:shd w:val="clear" w:color="000000" w:fill="FFFFFF"/>
            <w:noWrap/>
            <w:vAlign w:val="bottom"/>
            <w:hideMark/>
          </w:tcPr>
          <w:p w14:paraId="026273CF" w14:textId="77777777" w:rsidR="00BF4993" w:rsidRPr="00BF4993" w:rsidRDefault="00BF4993" w:rsidP="00BF4993">
            <w:pPr>
              <w:spacing w:after="0" w:line="240" w:lineRule="auto"/>
              <w:jc w:val="right"/>
              <w:rPr>
                <w:rFonts w:ascii="Arial Narrow" w:eastAsia="Times New Roman" w:hAnsi="Arial Narrow" w:cs="Calibri"/>
                <w:b/>
                <w:bCs/>
                <w:color w:val="18B3B9"/>
                <w:lang w:val="en-GB" w:eastAsia="en-GB"/>
              </w:rPr>
            </w:pPr>
            <w:r w:rsidRPr="00BF4993">
              <w:rPr>
                <w:rFonts w:ascii="Arial Narrow" w:eastAsia="Times New Roman" w:hAnsi="Arial Narrow" w:cs="Calibri"/>
                <w:b/>
                <w:bCs/>
                <w:color w:val="18B3B9"/>
                <w:lang w:val="en-GB" w:eastAsia="en-GB"/>
              </w:rPr>
              <w:t>(41.8)%</w:t>
            </w:r>
          </w:p>
        </w:tc>
      </w:tr>
      <w:tr w:rsidR="00BF4993" w:rsidRPr="00BF4993" w14:paraId="1F773300" w14:textId="77777777" w:rsidTr="00BF4993">
        <w:trPr>
          <w:trHeight w:val="315"/>
        </w:trPr>
        <w:tc>
          <w:tcPr>
            <w:tcW w:w="4842" w:type="dxa"/>
            <w:tcBorders>
              <w:top w:val="single" w:sz="4" w:space="0" w:color="03365F"/>
              <w:left w:val="nil"/>
              <w:bottom w:val="single" w:sz="8" w:space="0" w:color="03365F"/>
              <w:right w:val="nil"/>
            </w:tcBorders>
            <w:shd w:val="clear" w:color="auto" w:fill="auto"/>
            <w:noWrap/>
            <w:vAlign w:val="bottom"/>
            <w:hideMark/>
          </w:tcPr>
          <w:p w14:paraId="549FA998" w14:textId="77777777" w:rsidR="00BF4993" w:rsidRPr="00BF4993" w:rsidRDefault="00BF4993" w:rsidP="00BF4993">
            <w:pPr>
              <w:spacing w:after="0" w:line="240" w:lineRule="auto"/>
              <w:jc w:val="lef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NET INCOME</w:t>
            </w:r>
          </w:p>
        </w:tc>
        <w:tc>
          <w:tcPr>
            <w:tcW w:w="955" w:type="dxa"/>
            <w:tcBorders>
              <w:top w:val="single" w:sz="4" w:space="0" w:color="03365F"/>
              <w:left w:val="nil"/>
              <w:bottom w:val="single" w:sz="8" w:space="0" w:color="03365F"/>
              <w:right w:val="nil"/>
            </w:tcBorders>
            <w:shd w:val="clear" w:color="000000" w:fill="F2F2F2"/>
            <w:noWrap/>
            <w:vAlign w:val="bottom"/>
            <w:hideMark/>
          </w:tcPr>
          <w:p w14:paraId="0C3A217C" w14:textId="77777777" w:rsidR="00BF4993" w:rsidRPr="00BF4993" w:rsidRDefault="00BF4993" w:rsidP="00BF4993">
            <w:pPr>
              <w:spacing w:after="0" w:line="240" w:lineRule="auto"/>
              <w:jc w:val="righ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36.4</w:t>
            </w:r>
          </w:p>
        </w:tc>
        <w:tc>
          <w:tcPr>
            <w:tcW w:w="1003" w:type="dxa"/>
            <w:tcBorders>
              <w:top w:val="single" w:sz="4" w:space="0" w:color="03365F"/>
              <w:left w:val="nil"/>
              <w:bottom w:val="single" w:sz="8" w:space="0" w:color="03365F"/>
              <w:right w:val="nil"/>
            </w:tcBorders>
            <w:shd w:val="clear" w:color="000000" w:fill="D1F0F1"/>
            <w:noWrap/>
            <w:vAlign w:val="bottom"/>
            <w:hideMark/>
          </w:tcPr>
          <w:p w14:paraId="2D234FCA" w14:textId="77777777" w:rsidR="00BF4993" w:rsidRPr="00BF4993" w:rsidRDefault="00BF4993" w:rsidP="00BF4993">
            <w:pPr>
              <w:spacing w:after="0" w:line="240" w:lineRule="auto"/>
              <w:jc w:val="righ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12.7</w:t>
            </w:r>
          </w:p>
        </w:tc>
        <w:tc>
          <w:tcPr>
            <w:tcW w:w="895" w:type="dxa"/>
            <w:tcBorders>
              <w:top w:val="single" w:sz="4" w:space="0" w:color="03365F"/>
              <w:left w:val="nil"/>
              <w:bottom w:val="single" w:sz="8" w:space="0" w:color="03365F"/>
              <w:right w:val="nil"/>
            </w:tcBorders>
            <w:shd w:val="clear" w:color="auto" w:fill="auto"/>
            <w:noWrap/>
            <w:vAlign w:val="bottom"/>
            <w:hideMark/>
          </w:tcPr>
          <w:p w14:paraId="3EB8C5A2" w14:textId="77777777" w:rsidR="00BF4993" w:rsidRPr="00BF4993" w:rsidRDefault="00BF4993" w:rsidP="00BF4993">
            <w:pPr>
              <w:spacing w:after="0" w:line="240" w:lineRule="auto"/>
              <w:jc w:val="righ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(65.2)%</w:t>
            </w:r>
          </w:p>
        </w:tc>
        <w:tc>
          <w:tcPr>
            <w:tcW w:w="952" w:type="dxa"/>
            <w:tcBorders>
              <w:top w:val="single" w:sz="4" w:space="0" w:color="03365F"/>
              <w:left w:val="nil"/>
              <w:bottom w:val="single" w:sz="8" w:space="0" w:color="03365F"/>
              <w:right w:val="nil"/>
            </w:tcBorders>
            <w:shd w:val="clear" w:color="auto" w:fill="auto"/>
            <w:noWrap/>
            <w:vAlign w:val="bottom"/>
            <w:hideMark/>
          </w:tcPr>
          <w:p w14:paraId="5182BC1B" w14:textId="77777777" w:rsidR="00BF4993" w:rsidRPr="00BF4993" w:rsidRDefault="00BF4993" w:rsidP="00BF4993">
            <w:pPr>
              <w:spacing w:after="0" w:line="240" w:lineRule="auto"/>
              <w:jc w:val="righ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(60.9)%</w:t>
            </w:r>
          </w:p>
        </w:tc>
      </w:tr>
      <w:tr w:rsidR="00BF4993" w:rsidRPr="00BF4993" w14:paraId="51814FB3" w14:textId="77777777" w:rsidTr="00BF4993">
        <w:trPr>
          <w:trHeight w:val="75"/>
        </w:trPr>
        <w:tc>
          <w:tcPr>
            <w:tcW w:w="4842" w:type="dxa"/>
            <w:tcBorders>
              <w:top w:val="nil"/>
              <w:left w:val="nil"/>
              <w:bottom w:val="nil"/>
              <w:right w:val="nil"/>
            </w:tcBorders>
            <w:shd w:val="clear" w:color="auto" w:fill="auto"/>
            <w:noWrap/>
            <w:vAlign w:val="bottom"/>
            <w:hideMark/>
          </w:tcPr>
          <w:p w14:paraId="3AEC3CA6" w14:textId="77777777" w:rsidR="00BF4993" w:rsidRPr="00BF4993" w:rsidRDefault="00BF4993" w:rsidP="00BF4993">
            <w:pPr>
              <w:spacing w:after="0" w:line="240" w:lineRule="auto"/>
              <w:jc w:val="right"/>
              <w:rPr>
                <w:rFonts w:ascii="Arial Narrow" w:eastAsia="Times New Roman" w:hAnsi="Arial Narrow" w:cs="Calibri"/>
                <w:b/>
                <w:bCs/>
                <w:color w:val="03365F"/>
                <w:lang w:val="en-GB" w:eastAsia="en-GB"/>
              </w:rPr>
            </w:pPr>
          </w:p>
        </w:tc>
        <w:tc>
          <w:tcPr>
            <w:tcW w:w="955" w:type="dxa"/>
            <w:tcBorders>
              <w:top w:val="nil"/>
              <w:left w:val="nil"/>
              <w:bottom w:val="nil"/>
              <w:right w:val="nil"/>
            </w:tcBorders>
            <w:shd w:val="clear" w:color="auto" w:fill="auto"/>
            <w:noWrap/>
            <w:vAlign w:val="bottom"/>
            <w:hideMark/>
          </w:tcPr>
          <w:p w14:paraId="13DF883F" w14:textId="77777777" w:rsidR="00BF4993" w:rsidRPr="00BF4993" w:rsidRDefault="00BF4993" w:rsidP="00BF4993">
            <w:pPr>
              <w:spacing w:after="0" w:line="240" w:lineRule="auto"/>
              <w:jc w:val="left"/>
              <w:rPr>
                <w:rFonts w:ascii="Times New Roman" w:eastAsia="Times New Roman" w:hAnsi="Times New Roman" w:cs="Times New Roman"/>
                <w:lang w:val="en-GB" w:eastAsia="en-GB"/>
              </w:rPr>
            </w:pPr>
          </w:p>
        </w:tc>
        <w:tc>
          <w:tcPr>
            <w:tcW w:w="1003" w:type="dxa"/>
            <w:tcBorders>
              <w:top w:val="nil"/>
              <w:left w:val="nil"/>
              <w:bottom w:val="nil"/>
              <w:right w:val="nil"/>
            </w:tcBorders>
            <w:shd w:val="clear" w:color="auto" w:fill="auto"/>
            <w:noWrap/>
            <w:vAlign w:val="bottom"/>
            <w:hideMark/>
          </w:tcPr>
          <w:p w14:paraId="017A877F" w14:textId="77777777" w:rsidR="00BF4993" w:rsidRPr="00BF4993" w:rsidRDefault="00BF4993" w:rsidP="00BF4993">
            <w:pPr>
              <w:spacing w:after="0" w:line="240" w:lineRule="auto"/>
              <w:jc w:val="left"/>
              <w:rPr>
                <w:rFonts w:ascii="Times New Roman" w:eastAsia="Times New Roman" w:hAnsi="Times New Roman" w:cs="Times New Roman"/>
                <w:lang w:val="en-GB" w:eastAsia="en-GB"/>
              </w:rPr>
            </w:pPr>
          </w:p>
        </w:tc>
        <w:tc>
          <w:tcPr>
            <w:tcW w:w="895" w:type="dxa"/>
            <w:tcBorders>
              <w:top w:val="nil"/>
              <w:left w:val="nil"/>
              <w:bottom w:val="nil"/>
              <w:right w:val="nil"/>
            </w:tcBorders>
            <w:shd w:val="clear" w:color="auto" w:fill="auto"/>
            <w:noWrap/>
            <w:vAlign w:val="bottom"/>
            <w:hideMark/>
          </w:tcPr>
          <w:p w14:paraId="54ACC5DD" w14:textId="77777777" w:rsidR="00BF4993" w:rsidRPr="00BF4993" w:rsidRDefault="00BF4993" w:rsidP="00BF4993">
            <w:pPr>
              <w:spacing w:after="0" w:line="240" w:lineRule="auto"/>
              <w:jc w:val="left"/>
              <w:rPr>
                <w:rFonts w:ascii="Times New Roman" w:eastAsia="Times New Roman" w:hAnsi="Times New Roman" w:cs="Times New Roman"/>
                <w:lang w:val="en-GB" w:eastAsia="en-GB"/>
              </w:rPr>
            </w:pPr>
          </w:p>
        </w:tc>
        <w:tc>
          <w:tcPr>
            <w:tcW w:w="952" w:type="dxa"/>
            <w:tcBorders>
              <w:top w:val="nil"/>
              <w:left w:val="nil"/>
              <w:bottom w:val="nil"/>
              <w:right w:val="nil"/>
            </w:tcBorders>
            <w:shd w:val="clear" w:color="auto" w:fill="auto"/>
            <w:noWrap/>
            <w:vAlign w:val="bottom"/>
            <w:hideMark/>
          </w:tcPr>
          <w:p w14:paraId="032F8801" w14:textId="77777777" w:rsidR="00BF4993" w:rsidRPr="00BF4993" w:rsidRDefault="00BF4993" w:rsidP="00BF4993">
            <w:pPr>
              <w:spacing w:after="0" w:line="240" w:lineRule="auto"/>
              <w:jc w:val="left"/>
              <w:rPr>
                <w:rFonts w:ascii="Times New Roman" w:eastAsia="Times New Roman" w:hAnsi="Times New Roman" w:cs="Times New Roman"/>
                <w:lang w:val="en-GB" w:eastAsia="en-GB"/>
              </w:rPr>
            </w:pPr>
          </w:p>
        </w:tc>
      </w:tr>
      <w:tr w:rsidR="00BF4993" w:rsidRPr="00BF4993" w14:paraId="1485491A" w14:textId="77777777" w:rsidTr="00BF4993">
        <w:trPr>
          <w:trHeight w:val="510"/>
        </w:trPr>
        <w:tc>
          <w:tcPr>
            <w:tcW w:w="4842" w:type="dxa"/>
            <w:tcBorders>
              <w:top w:val="nil"/>
              <w:left w:val="nil"/>
              <w:bottom w:val="nil"/>
              <w:right w:val="nil"/>
            </w:tcBorders>
            <w:shd w:val="clear" w:color="000000" w:fill="03365F"/>
            <w:noWrap/>
            <w:vAlign w:val="center"/>
            <w:hideMark/>
          </w:tcPr>
          <w:p w14:paraId="68DB6EDA" w14:textId="77777777" w:rsidR="00BF4993" w:rsidRPr="00BF4993" w:rsidRDefault="00BF4993" w:rsidP="00BF4993">
            <w:pPr>
              <w:spacing w:after="0" w:line="240" w:lineRule="auto"/>
              <w:jc w:val="lef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 xml:space="preserve">Key ratios </w:t>
            </w:r>
          </w:p>
        </w:tc>
        <w:tc>
          <w:tcPr>
            <w:tcW w:w="955" w:type="dxa"/>
            <w:tcBorders>
              <w:top w:val="nil"/>
              <w:left w:val="nil"/>
              <w:bottom w:val="nil"/>
              <w:right w:val="nil"/>
            </w:tcBorders>
            <w:shd w:val="clear" w:color="000000" w:fill="03365F"/>
            <w:vAlign w:val="center"/>
            <w:hideMark/>
          </w:tcPr>
          <w:p w14:paraId="45389675" w14:textId="77777777" w:rsidR="00BF4993" w:rsidRPr="00BF4993" w:rsidRDefault="00BF4993" w:rsidP="00BF4993">
            <w:pPr>
              <w:spacing w:after="0" w:line="240" w:lineRule="auto"/>
              <w:jc w:val="righ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Q1-19</w:t>
            </w:r>
          </w:p>
        </w:tc>
        <w:tc>
          <w:tcPr>
            <w:tcW w:w="1003" w:type="dxa"/>
            <w:tcBorders>
              <w:top w:val="nil"/>
              <w:left w:val="nil"/>
              <w:bottom w:val="nil"/>
              <w:right w:val="nil"/>
            </w:tcBorders>
            <w:shd w:val="clear" w:color="000000" w:fill="18B3B9"/>
            <w:noWrap/>
            <w:vAlign w:val="center"/>
            <w:hideMark/>
          </w:tcPr>
          <w:p w14:paraId="26F0EA9C" w14:textId="77777777" w:rsidR="00BF4993" w:rsidRPr="00BF4993" w:rsidRDefault="00BF4993" w:rsidP="00BF4993">
            <w:pPr>
              <w:spacing w:after="0" w:line="240" w:lineRule="auto"/>
              <w:jc w:val="righ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Q1-20</w:t>
            </w:r>
          </w:p>
        </w:tc>
        <w:tc>
          <w:tcPr>
            <w:tcW w:w="895" w:type="dxa"/>
            <w:tcBorders>
              <w:top w:val="nil"/>
              <w:left w:val="nil"/>
              <w:bottom w:val="nil"/>
              <w:right w:val="nil"/>
            </w:tcBorders>
            <w:shd w:val="clear" w:color="000000" w:fill="03365F"/>
            <w:noWrap/>
            <w:vAlign w:val="center"/>
            <w:hideMark/>
          </w:tcPr>
          <w:p w14:paraId="03652FED" w14:textId="77777777" w:rsidR="00BF4993" w:rsidRPr="00BF4993" w:rsidRDefault="00BF4993" w:rsidP="00BF4993">
            <w:pPr>
              <w:spacing w:after="0" w:line="240" w:lineRule="auto"/>
              <w:jc w:val="center"/>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w:t>
            </w:r>
          </w:p>
        </w:tc>
        <w:tc>
          <w:tcPr>
            <w:tcW w:w="952" w:type="dxa"/>
            <w:tcBorders>
              <w:top w:val="nil"/>
              <w:left w:val="nil"/>
              <w:bottom w:val="nil"/>
              <w:right w:val="nil"/>
            </w:tcBorders>
            <w:shd w:val="clear" w:color="000000" w:fill="03365F"/>
            <w:vAlign w:val="center"/>
            <w:hideMark/>
          </w:tcPr>
          <w:p w14:paraId="5BEC54FD" w14:textId="00069086" w:rsidR="00BF4993" w:rsidRPr="00BF4993" w:rsidRDefault="00BF4993" w:rsidP="00BF4993">
            <w:pPr>
              <w:spacing w:after="0" w:line="240" w:lineRule="auto"/>
              <w:jc w:val="center"/>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 xml:space="preserve">% </w:t>
            </w:r>
            <w:r w:rsidRPr="00BF4993">
              <w:rPr>
                <w:rFonts w:ascii="Arial Narrow" w:eastAsia="Times New Roman" w:hAnsi="Arial Narrow" w:cs="Calibri"/>
                <w:b/>
                <w:bCs/>
                <w:color w:val="FFFFFF"/>
                <w:lang w:val="en-GB" w:eastAsia="en-GB"/>
              </w:rPr>
              <w:br/>
              <w:t>ex. FX</w:t>
            </w:r>
            <w:r>
              <w:rPr>
                <w:rFonts w:ascii="Arial Narrow" w:eastAsia="Times New Roman" w:hAnsi="Arial Narrow" w:cs="Calibri"/>
                <w:b/>
                <w:bCs/>
                <w:color w:val="FFFFFF"/>
                <w:lang w:val="en-GB" w:eastAsia="en-GB"/>
              </w:rPr>
              <w:t>*</w:t>
            </w:r>
          </w:p>
        </w:tc>
      </w:tr>
      <w:tr w:rsidR="00BF4993" w:rsidRPr="00BF4993" w14:paraId="65588CC6" w14:textId="77777777" w:rsidTr="00BF4993">
        <w:trPr>
          <w:trHeight w:val="300"/>
        </w:trPr>
        <w:tc>
          <w:tcPr>
            <w:tcW w:w="4842" w:type="dxa"/>
            <w:tcBorders>
              <w:top w:val="single" w:sz="4" w:space="0" w:color="BFBFBF"/>
              <w:left w:val="nil"/>
              <w:bottom w:val="single" w:sz="4" w:space="0" w:color="BFBFBF"/>
              <w:right w:val="nil"/>
            </w:tcBorders>
            <w:shd w:val="clear" w:color="auto" w:fill="auto"/>
            <w:noWrap/>
            <w:vAlign w:val="bottom"/>
            <w:hideMark/>
          </w:tcPr>
          <w:p w14:paraId="58522018"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Loss ratio net of reinsurance</w:t>
            </w:r>
          </w:p>
        </w:tc>
        <w:tc>
          <w:tcPr>
            <w:tcW w:w="955" w:type="dxa"/>
            <w:tcBorders>
              <w:top w:val="single" w:sz="4" w:space="0" w:color="BFBFBF"/>
              <w:left w:val="nil"/>
              <w:bottom w:val="single" w:sz="4" w:space="0" w:color="BFBFBF"/>
              <w:right w:val="nil"/>
            </w:tcBorders>
            <w:shd w:val="clear" w:color="000000" w:fill="F2F2F2"/>
            <w:noWrap/>
            <w:vAlign w:val="bottom"/>
            <w:hideMark/>
          </w:tcPr>
          <w:p w14:paraId="61A614A7"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42.6%</w:t>
            </w:r>
          </w:p>
        </w:tc>
        <w:tc>
          <w:tcPr>
            <w:tcW w:w="1003" w:type="dxa"/>
            <w:tcBorders>
              <w:top w:val="single" w:sz="4" w:space="0" w:color="BFBFBF"/>
              <w:left w:val="nil"/>
              <w:bottom w:val="single" w:sz="4" w:space="0" w:color="BFBFBF"/>
              <w:right w:val="nil"/>
            </w:tcBorders>
            <w:shd w:val="clear" w:color="000000" w:fill="D1F0F1"/>
            <w:noWrap/>
            <w:vAlign w:val="bottom"/>
            <w:hideMark/>
          </w:tcPr>
          <w:p w14:paraId="3B734600"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57.1%</w:t>
            </w:r>
          </w:p>
        </w:tc>
        <w:tc>
          <w:tcPr>
            <w:tcW w:w="895" w:type="dxa"/>
            <w:tcBorders>
              <w:top w:val="single" w:sz="4" w:space="0" w:color="BFBFBF"/>
              <w:left w:val="nil"/>
              <w:bottom w:val="single" w:sz="4" w:space="0" w:color="BFBFBF"/>
              <w:right w:val="nil"/>
            </w:tcBorders>
            <w:shd w:val="clear" w:color="000000" w:fill="FFFFFF"/>
            <w:noWrap/>
            <w:vAlign w:val="bottom"/>
            <w:hideMark/>
          </w:tcPr>
          <w:p w14:paraId="50514717"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+14.5</w:t>
            </w:r>
          </w:p>
        </w:tc>
        <w:tc>
          <w:tcPr>
            <w:tcW w:w="952" w:type="dxa"/>
            <w:tcBorders>
              <w:top w:val="single" w:sz="4" w:space="0" w:color="BFBFBF"/>
              <w:left w:val="nil"/>
              <w:bottom w:val="single" w:sz="4" w:space="0" w:color="BFBFBF"/>
              <w:right w:val="nil"/>
            </w:tcBorders>
            <w:shd w:val="clear" w:color="000000" w:fill="FFFFFF"/>
            <w:noWrap/>
            <w:vAlign w:val="bottom"/>
            <w:hideMark/>
          </w:tcPr>
          <w:p w14:paraId="59211612" w14:textId="77777777" w:rsidR="00BF4993" w:rsidRPr="00BF4993" w:rsidRDefault="00BF4993" w:rsidP="00BF4993">
            <w:pPr>
              <w:spacing w:after="0" w:line="240" w:lineRule="auto"/>
              <w:jc w:val="left"/>
              <w:rPr>
                <w:rFonts w:ascii="Arial Narrow" w:eastAsia="Times New Roman" w:hAnsi="Arial Narrow" w:cs="Calibri"/>
                <w:lang w:val="en-GB" w:eastAsia="en-GB"/>
              </w:rPr>
            </w:pPr>
            <w:proofErr w:type="gramStart"/>
            <w:r w:rsidRPr="00BF4993">
              <w:rPr>
                <w:rFonts w:ascii="Arial Narrow" w:eastAsia="Times New Roman" w:hAnsi="Arial Narrow" w:cs="Calibri"/>
                <w:lang w:val="en-GB" w:eastAsia="en-GB"/>
              </w:rPr>
              <w:t>ppts</w:t>
            </w:r>
            <w:proofErr w:type="gramEnd"/>
            <w:r w:rsidRPr="00BF4993">
              <w:rPr>
                <w:rFonts w:ascii="Arial Narrow" w:eastAsia="Times New Roman" w:hAnsi="Arial Narrow" w:cs="Calibri"/>
                <w:lang w:val="en-GB" w:eastAsia="en-GB"/>
              </w:rPr>
              <w:t>.</w:t>
            </w:r>
          </w:p>
        </w:tc>
      </w:tr>
      <w:tr w:rsidR="00BF4993" w:rsidRPr="00BF4993" w14:paraId="14E46C21" w14:textId="77777777" w:rsidTr="00BF4993">
        <w:trPr>
          <w:trHeight w:val="300"/>
        </w:trPr>
        <w:tc>
          <w:tcPr>
            <w:tcW w:w="4842" w:type="dxa"/>
            <w:tcBorders>
              <w:top w:val="nil"/>
              <w:left w:val="nil"/>
              <w:bottom w:val="single" w:sz="4" w:space="0" w:color="BFBFBF"/>
              <w:right w:val="nil"/>
            </w:tcBorders>
            <w:shd w:val="clear" w:color="auto" w:fill="auto"/>
            <w:noWrap/>
            <w:vAlign w:val="bottom"/>
            <w:hideMark/>
          </w:tcPr>
          <w:p w14:paraId="111D78C6"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Cost ratio net of reinsurance</w:t>
            </w:r>
          </w:p>
        </w:tc>
        <w:tc>
          <w:tcPr>
            <w:tcW w:w="955" w:type="dxa"/>
            <w:tcBorders>
              <w:top w:val="nil"/>
              <w:left w:val="nil"/>
              <w:bottom w:val="nil"/>
              <w:right w:val="nil"/>
            </w:tcBorders>
            <w:shd w:val="clear" w:color="000000" w:fill="F2F2F2"/>
            <w:noWrap/>
            <w:vAlign w:val="bottom"/>
            <w:hideMark/>
          </w:tcPr>
          <w:p w14:paraId="32AF0C89"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31.9%</w:t>
            </w:r>
          </w:p>
        </w:tc>
        <w:tc>
          <w:tcPr>
            <w:tcW w:w="1003" w:type="dxa"/>
            <w:tcBorders>
              <w:top w:val="nil"/>
              <w:left w:val="nil"/>
              <w:bottom w:val="nil"/>
              <w:right w:val="nil"/>
            </w:tcBorders>
            <w:shd w:val="clear" w:color="000000" w:fill="D1F0F1"/>
            <w:noWrap/>
            <w:vAlign w:val="bottom"/>
            <w:hideMark/>
          </w:tcPr>
          <w:p w14:paraId="0080BDFD"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29.7%</w:t>
            </w:r>
          </w:p>
        </w:tc>
        <w:tc>
          <w:tcPr>
            <w:tcW w:w="895" w:type="dxa"/>
            <w:tcBorders>
              <w:top w:val="nil"/>
              <w:left w:val="nil"/>
              <w:bottom w:val="nil"/>
              <w:right w:val="nil"/>
            </w:tcBorders>
            <w:shd w:val="clear" w:color="000000" w:fill="FFFFFF"/>
            <w:noWrap/>
            <w:vAlign w:val="bottom"/>
            <w:hideMark/>
          </w:tcPr>
          <w:p w14:paraId="66053AB2"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(2.2)</w:t>
            </w:r>
          </w:p>
        </w:tc>
        <w:tc>
          <w:tcPr>
            <w:tcW w:w="952" w:type="dxa"/>
            <w:tcBorders>
              <w:top w:val="nil"/>
              <w:left w:val="nil"/>
              <w:bottom w:val="nil"/>
              <w:right w:val="nil"/>
            </w:tcBorders>
            <w:shd w:val="clear" w:color="000000" w:fill="FFFFFF"/>
            <w:noWrap/>
            <w:vAlign w:val="bottom"/>
            <w:hideMark/>
          </w:tcPr>
          <w:p w14:paraId="71A9A9CF" w14:textId="77777777" w:rsidR="00BF4993" w:rsidRPr="00BF4993" w:rsidRDefault="00BF4993" w:rsidP="00BF4993">
            <w:pPr>
              <w:spacing w:after="0" w:line="240" w:lineRule="auto"/>
              <w:jc w:val="left"/>
              <w:rPr>
                <w:rFonts w:ascii="Arial Narrow" w:eastAsia="Times New Roman" w:hAnsi="Arial Narrow" w:cs="Calibri"/>
                <w:lang w:val="en-GB" w:eastAsia="en-GB"/>
              </w:rPr>
            </w:pPr>
            <w:proofErr w:type="gramStart"/>
            <w:r w:rsidRPr="00BF4993">
              <w:rPr>
                <w:rFonts w:ascii="Arial Narrow" w:eastAsia="Times New Roman" w:hAnsi="Arial Narrow" w:cs="Calibri"/>
                <w:lang w:val="en-GB" w:eastAsia="en-GB"/>
              </w:rPr>
              <w:t>ppts</w:t>
            </w:r>
            <w:proofErr w:type="gramEnd"/>
            <w:r w:rsidRPr="00BF4993">
              <w:rPr>
                <w:rFonts w:ascii="Arial Narrow" w:eastAsia="Times New Roman" w:hAnsi="Arial Narrow" w:cs="Calibri"/>
                <w:lang w:val="en-GB" w:eastAsia="en-GB"/>
              </w:rPr>
              <w:t>.</w:t>
            </w:r>
          </w:p>
        </w:tc>
      </w:tr>
      <w:tr w:rsidR="00BF4993" w:rsidRPr="00BF4993" w14:paraId="47C1E5AB" w14:textId="77777777" w:rsidTr="00BF4993">
        <w:trPr>
          <w:trHeight w:val="315"/>
        </w:trPr>
        <w:tc>
          <w:tcPr>
            <w:tcW w:w="4842" w:type="dxa"/>
            <w:tcBorders>
              <w:top w:val="single" w:sz="4" w:space="0" w:color="03365F"/>
              <w:left w:val="nil"/>
              <w:bottom w:val="single" w:sz="8" w:space="0" w:color="03365F"/>
              <w:right w:val="nil"/>
            </w:tcBorders>
            <w:shd w:val="clear" w:color="auto" w:fill="auto"/>
            <w:noWrap/>
            <w:vAlign w:val="bottom"/>
            <w:hideMark/>
          </w:tcPr>
          <w:p w14:paraId="1A14E045" w14:textId="77777777" w:rsidR="00BF4993" w:rsidRPr="00BF4993" w:rsidRDefault="00BF4993" w:rsidP="00BF4993">
            <w:pPr>
              <w:spacing w:after="0" w:line="240" w:lineRule="auto"/>
              <w:jc w:val="lef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COMBINED RATIO NET OF REINSURANCE</w:t>
            </w:r>
          </w:p>
        </w:tc>
        <w:tc>
          <w:tcPr>
            <w:tcW w:w="955" w:type="dxa"/>
            <w:tcBorders>
              <w:top w:val="single" w:sz="4" w:space="0" w:color="03365F"/>
              <w:left w:val="nil"/>
              <w:bottom w:val="single" w:sz="8" w:space="0" w:color="03365F"/>
              <w:right w:val="nil"/>
            </w:tcBorders>
            <w:shd w:val="clear" w:color="000000" w:fill="F2F2F2"/>
            <w:noWrap/>
            <w:vAlign w:val="bottom"/>
            <w:hideMark/>
          </w:tcPr>
          <w:p w14:paraId="2DEC65F9" w14:textId="77777777" w:rsidR="00BF4993" w:rsidRPr="00BF4993" w:rsidRDefault="00BF4993" w:rsidP="00BF4993">
            <w:pPr>
              <w:spacing w:after="0" w:line="240" w:lineRule="auto"/>
              <w:jc w:val="righ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74.5%</w:t>
            </w:r>
          </w:p>
        </w:tc>
        <w:tc>
          <w:tcPr>
            <w:tcW w:w="1003" w:type="dxa"/>
            <w:tcBorders>
              <w:top w:val="single" w:sz="4" w:space="0" w:color="03365F"/>
              <w:left w:val="nil"/>
              <w:bottom w:val="single" w:sz="8" w:space="0" w:color="03365F"/>
              <w:right w:val="nil"/>
            </w:tcBorders>
            <w:shd w:val="clear" w:color="000000" w:fill="D1F0F1"/>
            <w:noWrap/>
            <w:vAlign w:val="bottom"/>
            <w:hideMark/>
          </w:tcPr>
          <w:p w14:paraId="6110D00E" w14:textId="77777777" w:rsidR="00BF4993" w:rsidRPr="00BF4993" w:rsidRDefault="00BF4993" w:rsidP="00BF4993">
            <w:pPr>
              <w:spacing w:after="0" w:line="240" w:lineRule="auto"/>
              <w:jc w:val="righ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86.8%</w:t>
            </w:r>
          </w:p>
        </w:tc>
        <w:tc>
          <w:tcPr>
            <w:tcW w:w="895" w:type="dxa"/>
            <w:tcBorders>
              <w:top w:val="single" w:sz="4" w:space="0" w:color="03365F"/>
              <w:left w:val="nil"/>
              <w:bottom w:val="single" w:sz="8" w:space="0" w:color="03365F"/>
              <w:right w:val="nil"/>
            </w:tcBorders>
            <w:shd w:val="clear" w:color="000000" w:fill="FFFFFF"/>
            <w:noWrap/>
            <w:vAlign w:val="bottom"/>
            <w:hideMark/>
          </w:tcPr>
          <w:p w14:paraId="5D0A97AE" w14:textId="77777777" w:rsidR="00BF4993" w:rsidRPr="00BF4993" w:rsidRDefault="00BF4993" w:rsidP="00BF4993">
            <w:pPr>
              <w:spacing w:after="0" w:line="240" w:lineRule="auto"/>
              <w:jc w:val="right"/>
              <w:rPr>
                <w:rFonts w:ascii="Arial Narrow" w:eastAsia="Times New Roman" w:hAnsi="Arial Narrow" w:cs="Calibri"/>
                <w:b/>
                <w:bCs/>
                <w:color w:val="03365F"/>
                <w:lang w:val="en-GB" w:eastAsia="en-GB"/>
              </w:rPr>
            </w:pPr>
            <w:r w:rsidRPr="00BF4993">
              <w:rPr>
                <w:rFonts w:ascii="Arial Narrow" w:eastAsia="Times New Roman" w:hAnsi="Arial Narrow" w:cs="Calibri"/>
                <w:b/>
                <w:bCs/>
                <w:color w:val="03365F"/>
                <w:lang w:val="en-GB" w:eastAsia="en-GB"/>
              </w:rPr>
              <w:t>+12.3</w:t>
            </w:r>
          </w:p>
        </w:tc>
        <w:tc>
          <w:tcPr>
            <w:tcW w:w="952" w:type="dxa"/>
            <w:tcBorders>
              <w:top w:val="single" w:sz="4" w:space="0" w:color="03365F"/>
              <w:left w:val="nil"/>
              <w:bottom w:val="single" w:sz="8" w:space="0" w:color="03365F"/>
              <w:right w:val="nil"/>
            </w:tcBorders>
            <w:shd w:val="clear" w:color="000000" w:fill="FFFFFF"/>
            <w:noWrap/>
            <w:vAlign w:val="bottom"/>
            <w:hideMark/>
          </w:tcPr>
          <w:p w14:paraId="7A69CBF1" w14:textId="77777777" w:rsidR="00BF4993" w:rsidRPr="00BF4993" w:rsidRDefault="00BF4993" w:rsidP="00BF4993">
            <w:pPr>
              <w:spacing w:after="0" w:line="240" w:lineRule="auto"/>
              <w:jc w:val="left"/>
              <w:rPr>
                <w:rFonts w:ascii="Arial Narrow" w:eastAsia="Times New Roman" w:hAnsi="Arial Narrow" w:cs="Calibri"/>
                <w:b/>
                <w:bCs/>
                <w:color w:val="03365F"/>
                <w:lang w:val="en-GB" w:eastAsia="en-GB"/>
              </w:rPr>
            </w:pPr>
            <w:proofErr w:type="gramStart"/>
            <w:r w:rsidRPr="00BF4993">
              <w:rPr>
                <w:rFonts w:ascii="Arial Narrow" w:eastAsia="Times New Roman" w:hAnsi="Arial Narrow" w:cs="Calibri"/>
                <w:b/>
                <w:bCs/>
                <w:color w:val="03365F"/>
                <w:lang w:val="en-GB" w:eastAsia="en-GB"/>
              </w:rPr>
              <w:t>ppts</w:t>
            </w:r>
            <w:proofErr w:type="gramEnd"/>
            <w:r w:rsidRPr="00BF4993">
              <w:rPr>
                <w:rFonts w:ascii="Arial Narrow" w:eastAsia="Times New Roman" w:hAnsi="Arial Narrow" w:cs="Calibri"/>
                <w:b/>
                <w:bCs/>
                <w:color w:val="03365F"/>
                <w:lang w:val="en-GB" w:eastAsia="en-GB"/>
              </w:rPr>
              <w:t>.</w:t>
            </w:r>
          </w:p>
        </w:tc>
      </w:tr>
      <w:tr w:rsidR="00BF4993" w:rsidRPr="00BF4993" w14:paraId="7B6DDFB0" w14:textId="77777777" w:rsidTr="00BF4993">
        <w:trPr>
          <w:trHeight w:val="75"/>
        </w:trPr>
        <w:tc>
          <w:tcPr>
            <w:tcW w:w="4842" w:type="dxa"/>
            <w:tcBorders>
              <w:top w:val="nil"/>
              <w:left w:val="nil"/>
              <w:bottom w:val="nil"/>
              <w:right w:val="nil"/>
            </w:tcBorders>
            <w:shd w:val="clear" w:color="auto" w:fill="auto"/>
            <w:noWrap/>
            <w:vAlign w:val="bottom"/>
            <w:hideMark/>
          </w:tcPr>
          <w:p w14:paraId="7494BA8B" w14:textId="77777777" w:rsidR="00BF4993" w:rsidRPr="00BF4993" w:rsidRDefault="00BF4993" w:rsidP="00BF4993">
            <w:pPr>
              <w:spacing w:after="0" w:line="240" w:lineRule="auto"/>
              <w:jc w:val="left"/>
              <w:rPr>
                <w:rFonts w:ascii="Arial Narrow" w:eastAsia="Times New Roman" w:hAnsi="Arial Narrow" w:cs="Calibri"/>
                <w:b/>
                <w:bCs/>
                <w:color w:val="03365F"/>
                <w:lang w:val="en-GB" w:eastAsia="en-GB"/>
              </w:rPr>
            </w:pPr>
          </w:p>
        </w:tc>
        <w:tc>
          <w:tcPr>
            <w:tcW w:w="955" w:type="dxa"/>
            <w:tcBorders>
              <w:top w:val="nil"/>
              <w:left w:val="nil"/>
              <w:bottom w:val="nil"/>
              <w:right w:val="nil"/>
            </w:tcBorders>
            <w:shd w:val="clear" w:color="auto" w:fill="auto"/>
            <w:noWrap/>
            <w:vAlign w:val="bottom"/>
            <w:hideMark/>
          </w:tcPr>
          <w:p w14:paraId="08C55625" w14:textId="77777777" w:rsidR="00BF4993" w:rsidRPr="00BF4993" w:rsidRDefault="00BF4993" w:rsidP="00BF4993">
            <w:pPr>
              <w:spacing w:after="0" w:line="240" w:lineRule="auto"/>
              <w:jc w:val="left"/>
              <w:rPr>
                <w:rFonts w:ascii="Times New Roman" w:eastAsia="Times New Roman" w:hAnsi="Times New Roman" w:cs="Times New Roman"/>
                <w:lang w:val="en-GB" w:eastAsia="en-GB"/>
              </w:rPr>
            </w:pPr>
          </w:p>
        </w:tc>
        <w:tc>
          <w:tcPr>
            <w:tcW w:w="1003" w:type="dxa"/>
            <w:tcBorders>
              <w:top w:val="nil"/>
              <w:left w:val="nil"/>
              <w:bottom w:val="nil"/>
              <w:right w:val="nil"/>
            </w:tcBorders>
            <w:shd w:val="clear" w:color="auto" w:fill="auto"/>
            <w:noWrap/>
            <w:vAlign w:val="bottom"/>
            <w:hideMark/>
          </w:tcPr>
          <w:p w14:paraId="15866F6F" w14:textId="77777777" w:rsidR="00BF4993" w:rsidRPr="00BF4993" w:rsidRDefault="00BF4993" w:rsidP="00BF4993">
            <w:pPr>
              <w:spacing w:after="0" w:line="240" w:lineRule="auto"/>
              <w:jc w:val="left"/>
              <w:rPr>
                <w:rFonts w:ascii="Times New Roman" w:eastAsia="Times New Roman" w:hAnsi="Times New Roman" w:cs="Times New Roman"/>
                <w:lang w:val="en-GB" w:eastAsia="en-GB"/>
              </w:rPr>
            </w:pPr>
          </w:p>
        </w:tc>
        <w:tc>
          <w:tcPr>
            <w:tcW w:w="895" w:type="dxa"/>
            <w:tcBorders>
              <w:top w:val="nil"/>
              <w:left w:val="nil"/>
              <w:bottom w:val="nil"/>
              <w:right w:val="nil"/>
            </w:tcBorders>
            <w:shd w:val="clear" w:color="auto" w:fill="auto"/>
            <w:noWrap/>
            <w:vAlign w:val="bottom"/>
            <w:hideMark/>
          </w:tcPr>
          <w:p w14:paraId="616DAC52" w14:textId="77777777" w:rsidR="00BF4993" w:rsidRPr="00BF4993" w:rsidRDefault="00BF4993" w:rsidP="00BF4993">
            <w:pPr>
              <w:spacing w:after="0" w:line="240" w:lineRule="auto"/>
              <w:jc w:val="left"/>
              <w:rPr>
                <w:rFonts w:ascii="Times New Roman" w:eastAsia="Times New Roman" w:hAnsi="Times New Roman" w:cs="Times New Roman"/>
                <w:lang w:val="en-GB" w:eastAsia="en-GB"/>
              </w:rPr>
            </w:pPr>
          </w:p>
        </w:tc>
        <w:tc>
          <w:tcPr>
            <w:tcW w:w="952" w:type="dxa"/>
            <w:tcBorders>
              <w:top w:val="nil"/>
              <w:left w:val="nil"/>
              <w:bottom w:val="nil"/>
              <w:right w:val="nil"/>
            </w:tcBorders>
            <w:shd w:val="clear" w:color="auto" w:fill="auto"/>
            <w:noWrap/>
            <w:vAlign w:val="bottom"/>
            <w:hideMark/>
          </w:tcPr>
          <w:p w14:paraId="4778AC11" w14:textId="77777777" w:rsidR="00BF4993" w:rsidRPr="00BF4993" w:rsidRDefault="00BF4993" w:rsidP="00BF4993">
            <w:pPr>
              <w:spacing w:after="0" w:line="240" w:lineRule="auto"/>
              <w:jc w:val="left"/>
              <w:rPr>
                <w:rFonts w:ascii="Times New Roman" w:eastAsia="Times New Roman" w:hAnsi="Times New Roman" w:cs="Times New Roman"/>
                <w:lang w:val="en-GB" w:eastAsia="en-GB"/>
              </w:rPr>
            </w:pPr>
          </w:p>
        </w:tc>
      </w:tr>
      <w:tr w:rsidR="00BF4993" w:rsidRPr="00BF4993" w14:paraId="3C62ED38" w14:textId="77777777" w:rsidTr="00BF4993">
        <w:trPr>
          <w:trHeight w:val="510"/>
        </w:trPr>
        <w:tc>
          <w:tcPr>
            <w:tcW w:w="4842" w:type="dxa"/>
            <w:tcBorders>
              <w:top w:val="nil"/>
              <w:left w:val="nil"/>
              <w:bottom w:val="nil"/>
              <w:right w:val="nil"/>
            </w:tcBorders>
            <w:shd w:val="clear" w:color="000000" w:fill="03365F"/>
            <w:noWrap/>
            <w:vAlign w:val="center"/>
            <w:hideMark/>
          </w:tcPr>
          <w:p w14:paraId="412B6922" w14:textId="77777777" w:rsidR="00BF4993" w:rsidRPr="00BF4993" w:rsidRDefault="00BF4993" w:rsidP="00BF4993">
            <w:pPr>
              <w:spacing w:after="0" w:line="240" w:lineRule="auto"/>
              <w:jc w:val="lef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Balance sheet items in €m</w:t>
            </w:r>
          </w:p>
        </w:tc>
        <w:tc>
          <w:tcPr>
            <w:tcW w:w="955" w:type="dxa"/>
            <w:tcBorders>
              <w:top w:val="nil"/>
              <w:left w:val="nil"/>
              <w:bottom w:val="nil"/>
              <w:right w:val="nil"/>
            </w:tcBorders>
            <w:shd w:val="clear" w:color="000000" w:fill="03365F"/>
            <w:vAlign w:val="center"/>
            <w:hideMark/>
          </w:tcPr>
          <w:p w14:paraId="396D237B" w14:textId="77777777" w:rsidR="00BF4993" w:rsidRPr="00BF4993" w:rsidRDefault="00BF4993" w:rsidP="00BF4993">
            <w:pPr>
              <w:spacing w:after="0" w:line="240" w:lineRule="auto"/>
              <w:jc w:val="righ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Q1-19</w:t>
            </w:r>
          </w:p>
        </w:tc>
        <w:tc>
          <w:tcPr>
            <w:tcW w:w="1003" w:type="dxa"/>
            <w:tcBorders>
              <w:top w:val="nil"/>
              <w:left w:val="nil"/>
              <w:bottom w:val="nil"/>
              <w:right w:val="nil"/>
            </w:tcBorders>
            <w:shd w:val="clear" w:color="000000" w:fill="18B3B9"/>
            <w:noWrap/>
            <w:vAlign w:val="center"/>
            <w:hideMark/>
          </w:tcPr>
          <w:p w14:paraId="2AF6EF44" w14:textId="77777777" w:rsidR="00BF4993" w:rsidRPr="00BF4993" w:rsidRDefault="00BF4993" w:rsidP="00BF4993">
            <w:pPr>
              <w:spacing w:after="0" w:line="240" w:lineRule="auto"/>
              <w:jc w:val="right"/>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Q1-20</w:t>
            </w:r>
          </w:p>
        </w:tc>
        <w:tc>
          <w:tcPr>
            <w:tcW w:w="895" w:type="dxa"/>
            <w:tcBorders>
              <w:top w:val="nil"/>
              <w:left w:val="nil"/>
              <w:bottom w:val="nil"/>
              <w:right w:val="nil"/>
            </w:tcBorders>
            <w:shd w:val="clear" w:color="000000" w:fill="03365F"/>
            <w:noWrap/>
            <w:vAlign w:val="center"/>
            <w:hideMark/>
          </w:tcPr>
          <w:p w14:paraId="5E45C56A" w14:textId="77777777" w:rsidR="00BF4993" w:rsidRPr="00BF4993" w:rsidRDefault="00BF4993" w:rsidP="00BF4993">
            <w:pPr>
              <w:spacing w:after="0" w:line="240" w:lineRule="auto"/>
              <w:jc w:val="center"/>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w:t>
            </w:r>
          </w:p>
        </w:tc>
        <w:tc>
          <w:tcPr>
            <w:tcW w:w="952" w:type="dxa"/>
            <w:tcBorders>
              <w:top w:val="nil"/>
              <w:left w:val="nil"/>
              <w:bottom w:val="nil"/>
              <w:right w:val="nil"/>
            </w:tcBorders>
            <w:shd w:val="clear" w:color="000000" w:fill="03365F"/>
            <w:vAlign w:val="center"/>
            <w:hideMark/>
          </w:tcPr>
          <w:p w14:paraId="35B358D0" w14:textId="7B176033" w:rsidR="00BF4993" w:rsidRPr="00BF4993" w:rsidRDefault="00BF4993" w:rsidP="00BF4993">
            <w:pPr>
              <w:spacing w:after="0" w:line="240" w:lineRule="auto"/>
              <w:jc w:val="center"/>
              <w:rPr>
                <w:rFonts w:ascii="Arial Narrow" w:eastAsia="Times New Roman" w:hAnsi="Arial Narrow" w:cs="Calibri"/>
                <w:b/>
                <w:bCs/>
                <w:color w:val="FFFFFF"/>
                <w:lang w:val="en-GB" w:eastAsia="en-GB"/>
              </w:rPr>
            </w:pPr>
            <w:r w:rsidRPr="00BF4993">
              <w:rPr>
                <w:rFonts w:ascii="Arial Narrow" w:eastAsia="Times New Roman" w:hAnsi="Arial Narrow" w:cs="Calibri"/>
                <w:b/>
                <w:bCs/>
                <w:color w:val="FFFFFF"/>
                <w:lang w:val="en-GB" w:eastAsia="en-GB"/>
              </w:rPr>
              <w:t xml:space="preserve">% </w:t>
            </w:r>
            <w:r w:rsidRPr="00BF4993">
              <w:rPr>
                <w:rFonts w:ascii="Arial Narrow" w:eastAsia="Times New Roman" w:hAnsi="Arial Narrow" w:cs="Calibri"/>
                <w:b/>
                <w:bCs/>
                <w:color w:val="FFFFFF"/>
                <w:lang w:val="en-GB" w:eastAsia="en-GB"/>
              </w:rPr>
              <w:br/>
              <w:t>ex. FX</w:t>
            </w:r>
            <w:r>
              <w:rPr>
                <w:rFonts w:ascii="Arial Narrow" w:eastAsia="Times New Roman" w:hAnsi="Arial Narrow" w:cs="Calibri"/>
                <w:b/>
                <w:bCs/>
                <w:color w:val="FFFFFF"/>
                <w:lang w:val="en-GB" w:eastAsia="en-GB"/>
              </w:rPr>
              <w:t>*</w:t>
            </w:r>
          </w:p>
        </w:tc>
      </w:tr>
      <w:tr w:rsidR="00BF4993" w:rsidRPr="00BF4993" w14:paraId="606255F1" w14:textId="77777777" w:rsidTr="00BF4993">
        <w:trPr>
          <w:trHeight w:val="315"/>
        </w:trPr>
        <w:tc>
          <w:tcPr>
            <w:tcW w:w="4842" w:type="dxa"/>
            <w:tcBorders>
              <w:top w:val="single" w:sz="4" w:space="0" w:color="BFBFBF"/>
              <w:left w:val="nil"/>
              <w:bottom w:val="single" w:sz="12" w:space="0" w:color="03365F"/>
              <w:right w:val="nil"/>
            </w:tcBorders>
            <w:shd w:val="clear" w:color="auto" w:fill="auto"/>
            <w:noWrap/>
            <w:vAlign w:val="bottom"/>
            <w:hideMark/>
          </w:tcPr>
          <w:p w14:paraId="3A334606"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Total Equity (group share)</w:t>
            </w:r>
          </w:p>
        </w:tc>
        <w:tc>
          <w:tcPr>
            <w:tcW w:w="955" w:type="dxa"/>
            <w:tcBorders>
              <w:top w:val="single" w:sz="4" w:space="0" w:color="BFBFBF"/>
              <w:left w:val="nil"/>
              <w:bottom w:val="single" w:sz="12" w:space="0" w:color="03365F"/>
              <w:right w:val="nil"/>
            </w:tcBorders>
            <w:shd w:val="clear" w:color="000000" w:fill="F2F2F2"/>
            <w:noWrap/>
            <w:vAlign w:val="bottom"/>
            <w:hideMark/>
          </w:tcPr>
          <w:p w14:paraId="5C12355C"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1,881.8</w:t>
            </w:r>
          </w:p>
        </w:tc>
        <w:tc>
          <w:tcPr>
            <w:tcW w:w="1003" w:type="dxa"/>
            <w:tcBorders>
              <w:top w:val="single" w:sz="4" w:space="0" w:color="BFBFBF"/>
              <w:left w:val="nil"/>
              <w:bottom w:val="single" w:sz="12" w:space="0" w:color="03365F"/>
              <w:right w:val="nil"/>
            </w:tcBorders>
            <w:shd w:val="clear" w:color="000000" w:fill="D1F0F1"/>
            <w:noWrap/>
            <w:vAlign w:val="bottom"/>
            <w:hideMark/>
          </w:tcPr>
          <w:p w14:paraId="4195FAD1"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1,854.7</w:t>
            </w:r>
          </w:p>
        </w:tc>
        <w:tc>
          <w:tcPr>
            <w:tcW w:w="895" w:type="dxa"/>
            <w:tcBorders>
              <w:top w:val="single" w:sz="4" w:space="0" w:color="BFBFBF"/>
              <w:left w:val="nil"/>
              <w:bottom w:val="single" w:sz="12" w:space="0" w:color="03365F"/>
              <w:right w:val="nil"/>
            </w:tcBorders>
            <w:shd w:val="clear" w:color="000000" w:fill="FFFFFF"/>
            <w:noWrap/>
            <w:vAlign w:val="bottom"/>
            <w:hideMark/>
          </w:tcPr>
          <w:p w14:paraId="31C3E916" w14:textId="77777777" w:rsidR="00BF4993" w:rsidRPr="00BF4993" w:rsidRDefault="00BF4993" w:rsidP="00BF4993">
            <w:pPr>
              <w:spacing w:after="0" w:line="240" w:lineRule="auto"/>
              <w:jc w:val="right"/>
              <w:rPr>
                <w:rFonts w:ascii="Arial Narrow" w:eastAsia="Times New Roman" w:hAnsi="Arial Narrow" w:cs="Calibri"/>
                <w:lang w:val="en-GB" w:eastAsia="en-GB"/>
              </w:rPr>
            </w:pPr>
            <w:r w:rsidRPr="00BF4993">
              <w:rPr>
                <w:rFonts w:ascii="Arial Narrow" w:eastAsia="Times New Roman" w:hAnsi="Arial Narrow" w:cs="Calibri"/>
                <w:lang w:val="en-GB" w:eastAsia="en-GB"/>
              </w:rPr>
              <w:t>(1.4)%</w:t>
            </w:r>
          </w:p>
        </w:tc>
        <w:tc>
          <w:tcPr>
            <w:tcW w:w="952" w:type="dxa"/>
            <w:tcBorders>
              <w:top w:val="single" w:sz="4" w:space="0" w:color="BFBFBF"/>
              <w:left w:val="nil"/>
              <w:bottom w:val="single" w:sz="12" w:space="0" w:color="03365F"/>
              <w:right w:val="nil"/>
            </w:tcBorders>
            <w:shd w:val="clear" w:color="000000" w:fill="FFFFFF"/>
            <w:noWrap/>
            <w:vAlign w:val="bottom"/>
            <w:hideMark/>
          </w:tcPr>
          <w:p w14:paraId="43D1BD92" w14:textId="77777777" w:rsidR="00BF4993" w:rsidRPr="00BF4993" w:rsidRDefault="00BF4993" w:rsidP="00BF4993">
            <w:pPr>
              <w:spacing w:after="0" w:line="240" w:lineRule="auto"/>
              <w:jc w:val="left"/>
              <w:rPr>
                <w:rFonts w:ascii="Arial Narrow" w:eastAsia="Times New Roman" w:hAnsi="Arial Narrow" w:cs="Calibri"/>
                <w:lang w:val="en-GB" w:eastAsia="en-GB"/>
              </w:rPr>
            </w:pPr>
            <w:r w:rsidRPr="00BF4993">
              <w:rPr>
                <w:rFonts w:ascii="Arial Narrow" w:eastAsia="Times New Roman" w:hAnsi="Arial Narrow" w:cs="Calibri"/>
                <w:lang w:val="en-GB" w:eastAsia="en-GB"/>
              </w:rPr>
              <w:t> </w:t>
            </w:r>
          </w:p>
        </w:tc>
      </w:tr>
    </w:tbl>
    <w:p w14:paraId="10C3C872" w14:textId="77777777" w:rsidR="00E0314E" w:rsidRPr="00B30555" w:rsidRDefault="00E0314E" w:rsidP="00022DA0">
      <w:pPr>
        <w:pStyle w:val="Notedebasdepage"/>
        <w:spacing w:after="0"/>
        <w:rPr>
          <w:rFonts w:ascii="Arial Narrow" w:hAnsi="Arial Narrow"/>
          <w:sz w:val="14"/>
          <w:szCs w:val="14"/>
          <w:lang w:val="en-GB"/>
        </w:rPr>
      </w:pPr>
    </w:p>
    <w:p w14:paraId="41ED6FB1" w14:textId="77777777" w:rsidR="00350FC0" w:rsidRPr="00B30555" w:rsidRDefault="00350FC0" w:rsidP="00022DA0">
      <w:pPr>
        <w:pStyle w:val="Notedebasdepage"/>
        <w:spacing w:after="0"/>
        <w:rPr>
          <w:rFonts w:ascii="Arial Narrow" w:hAnsi="Arial Narrow"/>
          <w:sz w:val="14"/>
          <w:szCs w:val="14"/>
          <w:lang w:val="en-GB"/>
        </w:rPr>
      </w:pPr>
    </w:p>
    <w:p w14:paraId="4CE2AE92" w14:textId="77777777" w:rsidR="00E0314E" w:rsidRPr="00B30555" w:rsidRDefault="00350FC0" w:rsidP="00022DA0">
      <w:pPr>
        <w:pStyle w:val="Notedebasdepage"/>
        <w:spacing w:after="0"/>
        <w:rPr>
          <w:rFonts w:ascii="Arial Narrow" w:hAnsi="Arial Narrow" w:cs="Cambria"/>
          <w:sz w:val="14"/>
          <w:szCs w:val="14"/>
          <w:lang w:val="en-GB" w:eastAsia="en-GB"/>
        </w:rPr>
      </w:pPr>
      <w:r w:rsidRPr="00B30555">
        <w:rPr>
          <w:rFonts w:ascii="Arial Narrow" w:hAnsi="Arial Narrow"/>
          <w:sz w:val="14"/>
          <w:szCs w:val="14"/>
          <w:lang w:val="en-GB"/>
        </w:rPr>
        <w:t>* Also excludes scope impact</w:t>
      </w:r>
    </w:p>
    <w:p w14:paraId="2F4FE5A4" w14:textId="77777777" w:rsidR="00E0314E" w:rsidRPr="00B30555" w:rsidRDefault="00E0314E">
      <w:pPr>
        <w:rPr>
          <w:rFonts w:ascii="Arial Narrow" w:eastAsia="Calibri" w:hAnsi="Arial Narrow" w:cs="Arial"/>
          <w:b/>
          <w:bCs/>
          <w:highlight w:val="yellow"/>
          <w:lang w:val="en-GB" w:eastAsia="en-US"/>
        </w:rPr>
      </w:pPr>
      <w:r w:rsidRPr="00B30555">
        <w:rPr>
          <w:rFonts w:ascii="Arial Narrow" w:eastAsia="Calibri" w:hAnsi="Arial Narrow" w:cs="Arial"/>
          <w:b/>
          <w:bCs/>
          <w:highlight w:val="yellow"/>
          <w:lang w:val="en-GB" w:eastAsia="en-US"/>
        </w:rPr>
        <w:br w:type="page"/>
      </w:r>
    </w:p>
    <w:p w14:paraId="27298CD0" w14:textId="77777777" w:rsidR="00A2397E" w:rsidRPr="00B30555" w:rsidRDefault="00950E42" w:rsidP="00A17AE0">
      <w:pPr>
        <w:numPr>
          <w:ilvl w:val="0"/>
          <w:numId w:val="16"/>
        </w:numPr>
        <w:autoSpaceDE w:val="0"/>
        <w:autoSpaceDN w:val="0"/>
        <w:adjustRightInd w:val="0"/>
        <w:spacing w:after="0"/>
        <w:ind w:left="714" w:hanging="357"/>
        <w:rPr>
          <w:rFonts w:ascii="Arial Narrow" w:eastAsia="Calibri" w:hAnsi="Arial Narrow" w:cs="Arial"/>
          <w:b/>
          <w:lang w:val="en-GB" w:eastAsia="en-US"/>
        </w:rPr>
      </w:pPr>
      <w:r w:rsidRPr="00B30555">
        <w:rPr>
          <w:rFonts w:ascii="Arial Narrow" w:eastAsia="Calibri" w:hAnsi="Arial Narrow" w:cs="Arial"/>
          <w:b/>
          <w:bCs/>
          <w:lang w:val="en-GB" w:eastAsia="en-US"/>
        </w:rPr>
        <w:lastRenderedPageBreak/>
        <w:t>Turnover</w:t>
      </w:r>
    </w:p>
    <w:p w14:paraId="000BBEF0" w14:textId="77777777" w:rsidR="00A17AE0" w:rsidRPr="00B30555" w:rsidRDefault="00A17AE0" w:rsidP="00A17AE0">
      <w:pPr>
        <w:autoSpaceDE w:val="0"/>
        <w:autoSpaceDN w:val="0"/>
        <w:adjustRightInd w:val="0"/>
        <w:spacing w:after="0" w:line="240" w:lineRule="auto"/>
        <w:rPr>
          <w:rFonts w:ascii="Arial Narrow" w:eastAsia="Calibri" w:hAnsi="Arial Narrow" w:cs="Arial"/>
          <w:i/>
          <w:lang w:val="en-GB" w:eastAsia="en-US"/>
        </w:rPr>
      </w:pPr>
    </w:p>
    <w:p w14:paraId="5DA8B994" w14:textId="4E500EB5" w:rsidR="00C3121E" w:rsidRPr="00B444A4" w:rsidRDefault="00C3121E" w:rsidP="00C3121E">
      <w:pPr>
        <w:suppressAutoHyphens/>
        <w:spacing w:after="120"/>
        <w:rPr>
          <w:rFonts w:ascii="Arial Narrow" w:hAnsi="Arial Narrow" w:cs="Arial"/>
          <w:lang w:eastAsia="fr-FR"/>
        </w:rPr>
      </w:pPr>
      <w:r w:rsidRPr="00B444A4">
        <w:rPr>
          <w:rFonts w:ascii="Arial Narrow" w:hAnsi="Arial Narrow" w:cs="Arial"/>
          <w:lang w:eastAsia="fr-FR"/>
        </w:rPr>
        <w:t>Coface recorded consolidated sales of €370.4</w:t>
      </w:r>
      <w:r>
        <w:rPr>
          <w:rFonts w:ascii="Arial Narrow" w:hAnsi="Arial Narrow" w:cs="Arial"/>
          <w:lang w:eastAsia="fr-FR"/>
        </w:rPr>
        <w:t>m</w:t>
      </w:r>
      <w:r w:rsidRPr="00B444A4">
        <w:rPr>
          <w:rFonts w:ascii="Arial Narrow" w:hAnsi="Arial Narrow" w:cs="Arial"/>
          <w:lang w:eastAsia="fr-FR"/>
        </w:rPr>
        <w:t xml:space="preserve">, up by +0.9% at constant FX and perimeter compared to Q1-2019. On a reported basis (at </w:t>
      </w:r>
      <w:r w:rsidR="00025D39">
        <w:rPr>
          <w:rFonts w:ascii="Arial Narrow" w:hAnsi="Arial Narrow" w:cs="Arial"/>
          <w:lang w:eastAsia="fr-FR"/>
        </w:rPr>
        <w:t>current</w:t>
      </w:r>
      <w:r w:rsidRPr="00B444A4">
        <w:rPr>
          <w:rFonts w:ascii="Arial Narrow" w:hAnsi="Arial Narrow" w:cs="Arial"/>
          <w:lang w:eastAsia="fr-FR"/>
        </w:rPr>
        <w:t xml:space="preserve"> FX and perimeter), turnover grew by +1</w:t>
      </w:r>
      <w:r>
        <w:rPr>
          <w:rFonts w:ascii="Arial Narrow" w:hAnsi="Arial Narrow" w:cs="Arial"/>
          <w:lang w:eastAsia="fr-FR"/>
        </w:rPr>
        <w:t>.</w:t>
      </w:r>
      <w:r w:rsidRPr="00B444A4">
        <w:rPr>
          <w:rFonts w:ascii="Arial Narrow" w:hAnsi="Arial Narrow" w:cs="Arial"/>
          <w:lang w:eastAsia="fr-FR"/>
        </w:rPr>
        <w:t>4%. This notably includes the contribution of Coface PKZ</w:t>
      </w:r>
      <w:r w:rsidR="00111820">
        <w:rPr>
          <w:rFonts w:ascii="Arial Narrow" w:hAnsi="Arial Narrow" w:cs="Arial"/>
          <w:lang w:eastAsia="fr-FR"/>
        </w:rPr>
        <w:t>,</w:t>
      </w:r>
      <w:r w:rsidRPr="00B444A4">
        <w:rPr>
          <w:rFonts w:ascii="Arial Narrow" w:hAnsi="Arial Narrow" w:cs="Arial"/>
          <w:lang w:eastAsia="fr-FR"/>
        </w:rPr>
        <w:t xml:space="preserve"> which </w:t>
      </w:r>
      <w:proofErr w:type="gramStart"/>
      <w:r w:rsidRPr="00B444A4">
        <w:rPr>
          <w:rFonts w:ascii="Arial Narrow" w:hAnsi="Arial Narrow" w:cs="Arial"/>
          <w:lang w:eastAsia="fr-FR"/>
        </w:rPr>
        <w:t>was integrated</w:t>
      </w:r>
      <w:proofErr w:type="gramEnd"/>
      <w:r w:rsidRPr="00B444A4">
        <w:rPr>
          <w:rFonts w:ascii="Arial Narrow" w:hAnsi="Arial Narrow" w:cs="Arial"/>
          <w:lang w:eastAsia="fr-FR"/>
        </w:rPr>
        <w:t xml:space="preserve"> in Q2-2019.</w:t>
      </w:r>
    </w:p>
    <w:p w14:paraId="2CE44C0B" w14:textId="50C91AD1" w:rsidR="00C3121E" w:rsidRPr="00B444A4" w:rsidRDefault="00C3121E" w:rsidP="00C3121E">
      <w:pPr>
        <w:suppressAutoHyphens/>
        <w:spacing w:after="120"/>
        <w:rPr>
          <w:rFonts w:ascii="Arial Narrow" w:hAnsi="Arial Narrow" w:cs="Arial"/>
          <w:lang w:eastAsia="fr-FR"/>
        </w:rPr>
      </w:pPr>
      <w:r w:rsidRPr="00B444A4">
        <w:rPr>
          <w:rFonts w:ascii="Arial Narrow" w:hAnsi="Arial Narrow" w:cs="Arial"/>
          <w:lang w:eastAsia="fr-FR"/>
        </w:rPr>
        <w:t xml:space="preserve">Growth in the </w:t>
      </w:r>
      <w:r w:rsidR="00111820" w:rsidRPr="00B444A4">
        <w:rPr>
          <w:rFonts w:ascii="Arial Narrow" w:hAnsi="Arial Narrow" w:cs="Arial"/>
          <w:lang w:eastAsia="fr-FR"/>
        </w:rPr>
        <w:t>activi</w:t>
      </w:r>
      <w:r w:rsidR="00111820">
        <w:rPr>
          <w:rFonts w:ascii="Arial Narrow" w:hAnsi="Arial Narrow" w:cs="Arial"/>
          <w:lang w:eastAsia="fr-FR"/>
        </w:rPr>
        <w:t>ty</w:t>
      </w:r>
      <w:r w:rsidR="00111820" w:rsidRPr="00B444A4">
        <w:rPr>
          <w:rFonts w:ascii="Arial Narrow" w:hAnsi="Arial Narrow" w:cs="Arial"/>
          <w:lang w:eastAsia="fr-FR"/>
        </w:rPr>
        <w:t xml:space="preserve"> </w:t>
      </w:r>
      <w:r w:rsidRPr="00B444A4">
        <w:rPr>
          <w:rFonts w:ascii="Arial Narrow" w:hAnsi="Arial Narrow" w:cs="Arial"/>
          <w:lang w:eastAsia="fr-FR"/>
        </w:rPr>
        <w:t>of Coface’s clients had a positive impact of +0.6% over the quarter, mainly reflecting past growth of their business.</w:t>
      </w:r>
      <w:r w:rsidRPr="00B444A4">
        <w:t xml:space="preserve"> </w:t>
      </w:r>
      <w:r w:rsidRPr="00B444A4">
        <w:rPr>
          <w:rFonts w:ascii="Arial Narrow" w:hAnsi="Arial Narrow" w:cs="Arial"/>
          <w:lang w:eastAsia="fr-FR"/>
        </w:rPr>
        <w:t xml:space="preserve">This pace of growth shows a marked fall compared to the previous year (+1.3% in Q1-2019). Coface anticipates a sharp decline in client activity levels </w:t>
      </w:r>
      <w:r>
        <w:rPr>
          <w:rFonts w:ascii="Arial Narrow" w:hAnsi="Arial Narrow" w:cs="Arial"/>
          <w:lang w:eastAsia="fr-FR"/>
        </w:rPr>
        <w:t>due to</w:t>
      </w:r>
      <w:r w:rsidRPr="00B444A4">
        <w:rPr>
          <w:rFonts w:ascii="Arial Narrow" w:hAnsi="Arial Narrow" w:cs="Arial"/>
          <w:lang w:eastAsia="fr-FR"/>
        </w:rPr>
        <w:t xml:space="preserve"> </w:t>
      </w:r>
      <w:r w:rsidR="00111820">
        <w:rPr>
          <w:rFonts w:ascii="Arial Narrow" w:hAnsi="Arial Narrow" w:cs="Arial"/>
          <w:lang w:eastAsia="fr-FR"/>
        </w:rPr>
        <w:t xml:space="preserve">coronavirus </w:t>
      </w:r>
      <w:r w:rsidRPr="00B444A4">
        <w:rPr>
          <w:rFonts w:ascii="Arial Narrow" w:hAnsi="Arial Narrow" w:cs="Arial"/>
          <w:lang w:eastAsia="fr-FR"/>
        </w:rPr>
        <w:t xml:space="preserve">containment measures. Some of this anticipated slowdown </w:t>
      </w:r>
      <w:proofErr w:type="gramStart"/>
      <w:r w:rsidRPr="00B444A4">
        <w:rPr>
          <w:rFonts w:ascii="Arial Narrow" w:hAnsi="Arial Narrow" w:cs="Arial"/>
          <w:lang w:eastAsia="fr-FR"/>
        </w:rPr>
        <w:t>is reflected</w:t>
      </w:r>
      <w:proofErr w:type="gramEnd"/>
      <w:r w:rsidRPr="00B444A4">
        <w:rPr>
          <w:rFonts w:ascii="Arial Narrow" w:hAnsi="Arial Narrow" w:cs="Arial"/>
          <w:lang w:eastAsia="fr-FR"/>
        </w:rPr>
        <w:t xml:space="preserve"> in Q1-2020 revenues. </w:t>
      </w:r>
    </w:p>
    <w:p w14:paraId="4D460AFA" w14:textId="77777777" w:rsidR="00C3121E" w:rsidRPr="00B444A4" w:rsidRDefault="00C3121E" w:rsidP="00C3121E">
      <w:pPr>
        <w:suppressAutoHyphens/>
        <w:spacing w:after="120"/>
        <w:rPr>
          <w:rFonts w:ascii="Arial Narrow" w:hAnsi="Arial Narrow" w:cs="Arial"/>
          <w:lang w:eastAsia="fr-FR"/>
        </w:rPr>
      </w:pPr>
      <w:r w:rsidRPr="00B444A4">
        <w:rPr>
          <w:rFonts w:ascii="Arial Narrow" w:hAnsi="Arial Narrow" w:cs="Arial"/>
          <w:lang w:eastAsia="fr-FR"/>
        </w:rPr>
        <w:t>Price decreases remain under control, down by -0.4%, reflecting good commercial management. This performance does not yet include the effect of portfolio re-pricing initiatives.</w:t>
      </w:r>
    </w:p>
    <w:p w14:paraId="131FEF84" w14:textId="27A266F0" w:rsidR="00C3121E" w:rsidRPr="00B444A4" w:rsidRDefault="00C3121E" w:rsidP="00C3121E">
      <w:pPr>
        <w:suppressAutoHyphens/>
        <w:spacing w:after="120"/>
        <w:rPr>
          <w:rFonts w:ascii="Arial Narrow" w:hAnsi="Arial Narrow" w:cs="Arial"/>
          <w:lang w:eastAsia="fr-FR"/>
        </w:rPr>
      </w:pPr>
      <w:r w:rsidRPr="00B444A4">
        <w:rPr>
          <w:rFonts w:ascii="Arial Narrow" w:hAnsi="Arial Narrow" w:cs="Arial"/>
          <w:lang w:eastAsia="fr-FR"/>
        </w:rPr>
        <w:t>The client retention rate was high in most regions and reached a new record of 94.3% for the Group. New business stood at €51</w:t>
      </w:r>
      <w:r w:rsidR="00B12E05">
        <w:rPr>
          <w:rFonts w:ascii="Arial Narrow" w:hAnsi="Arial Narrow" w:cs="Arial"/>
          <w:lang w:eastAsia="fr-FR"/>
        </w:rPr>
        <w:t>m</w:t>
      </w:r>
      <w:r w:rsidRPr="00B444A4">
        <w:rPr>
          <w:rFonts w:ascii="Arial Narrow" w:hAnsi="Arial Narrow" w:cs="Arial"/>
          <w:lang w:eastAsia="fr-FR"/>
        </w:rPr>
        <w:t>, marking a rise of €16</w:t>
      </w:r>
      <w:r w:rsidR="00B12E05">
        <w:rPr>
          <w:rFonts w:ascii="Arial Narrow" w:hAnsi="Arial Narrow" w:cs="Arial"/>
          <w:lang w:eastAsia="fr-FR"/>
        </w:rPr>
        <w:t>m</w:t>
      </w:r>
      <w:r w:rsidRPr="00B444A4">
        <w:rPr>
          <w:rFonts w:ascii="Arial Narrow" w:hAnsi="Arial Narrow" w:cs="Arial"/>
          <w:lang w:eastAsia="fr-FR"/>
        </w:rPr>
        <w:t xml:space="preserve"> compared to 2019. New business </w:t>
      </w:r>
      <w:proofErr w:type="gramStart"/>
      <w:r w:rsidRPr="00B444A4">
        <w:rPr>
          <w:rFonts w:ascii="Arial Narrow" w:hAnsi="Arial Narrow" w:cs="Arial"/>
          <w:lang w:eastAsia="fr-FR"/>
        </w:rPr>
        <w:t>was supported</w:t>
      </w:r>
      <w:proofErr w:type="gramEnd"/>
      <w:r w:rsidRPr="00B444A4">
        <w:rPr>
          <w:rFonts w:ascii="Arial Narrow" w:hAnsi="Arial Narrow" w:cs="Arial"/>
          <w:lang w:eastAsia="fr-FR"/>
        </w:rPr>
        <w:t xml:space="preserve"> by commercial </w:t>
      </w:r>
      <w:r w:rsidR="00D17440">
        <w:rPr>
          <w:rFonts w:ascii="Arial Narrow" w:hAnsi="Arial Narrow" w:cs="Arial"/>
          <w:lang w:eastAsia="fr-FR"/>
        </w:rPr>
        <w:t>revival</w:t>
      </w:r>
      <w:r w:rsidRPr="00B444A4">
        <w:rPr>
          <w:rFonts w:ascii="Arial Narrow" w:hAnsi="Arial Narrow" w:cs="Arial"/>
          <w:lang w:eastAsia="fr-FR"/>
        </w:rPr>
        <w:t xml:space="preserve"> in mid-market and stronger performance on </w:t>
      </w:r>
      <w:r w:rsidR="00D17440">
        <w:rPr>
          <w:rFonts w:ascii="Arial Narrow" w:hAnsi="Arial Narrow" w:cs="Arial"/>
          <w:lang w:eastAsia="fr-FR"/>
        </w:rPr>
        <w:t>large</w:t>
      </w:r>
      <w:r w:rsidRPr="00B444A4">
        <w:rPr>
          <w:rFonts w:ascii="Arial Narrow" w:hAnsi="Arial Narrow" w:cs="Arial"/>
          <w:lang w:eastAsia="fr-FR"/>
        </w:rPr>
        <w:t xml:space="preserve"> accounts. The implementation of confinement measures has since resulted in a sharp slowdown in Coface's commercial activities.</w:t>
      </w:r>
    </w:p>
    <w:p w14:paraId="4B34547F" w14:textId="77777777" w:rsidR="00C3121E" w:rsidRPr="00B444A4" w:rsidRDefault="00C3121E" w:rsidP="00C3121E">
      <w:pPr>
        <w:suppressAutoHyphens/>
        <w:spacing w:after="120"/>
        <w:rPr>
          <w:rFonts w:ascii="Arial Narrow" w:hAnsi="Arial Narrow" w:cs="Arial"/>
          <w:lang w:eastAsia="fr-FR"/>
        </w:rPr>
      </w:pPr>
      <w:r w:rsidRPr="00B444A4">
        <w:rPr>
          <w:rFonts w:ascii="Arial Narrow" w:hAnsi="Arial Narrow" w:cs="Arial"/>
          <w:lang w:eastAsia="fr-FR"/>
        </w:rPr>
        <w:t xml:space="preserve">Turnover from insurance activities (including bonding and Single Risk) rose by +0.3% at constant FX and perimeter compared to Q1-2019 (up by +0.7% at current FX and perimeter). This </w:t>
      </w:r>
      <w:proofErr w:type="gramStart"/>
      <w:r w:rsidRPr="00B444A4">
        <w:rPr>
          <w:rFonts w:ascii="Arial Narrow" w:hAnsi="Arial Narrow" w:cs="Arial"/>
          <w:lang w:eastAsia="fr-FR"/>
        </w:rPr>
        <w:t>was driven</w:t>
      </w:r>
      <w:proofErr w:type="gramEnd"/>
      <w:r w:rsidRPr="00B444A4">
        <w:rPr>
          <w:rFonts w:ascii="Arial Narrow" w:hAnsi="Arial Narrow" w:cs="Arial"/>
          <w:lang w:eastAsia="fr-FR"/>
        </w:rPr>
        <w:t xml:space="preserve"> by a high level of retention and improvement in commercial performance</w:t>
      </w:r>
      <w:r>
        <w:rPr>
          <w:rFonts w:ascii="Arial Narrow" w:hAnsi="Arial Narrow" w:cs="Arial"/>
          <w:lang w:eastAsia="fr-FR"/>
        </w:rPr>
        <w:t>,</w:t>
      </w:r>
      <w:r w:rsidRPr="00B444A4">
        <w:rPr>
          <w:rFonts w:ascii="Arial Narrow" w:hAnsi="Arial Narrow" w:cs="Arial"/>
          <w:lang w:eastAsia="fr-FR"/>
        </w:rPr>
        <w:t xml:space="preserve"> </w:t>
      </w:r>
      <w:r>
        <w:rPr>
          <w:rFonts w:ascii="Arial Narrow" w:hAnsi="Arial Narrow" w:cs="Arial"/>
          <w:lang w:eastAsia="fr-FR"/>
        </w:rPr>
        <w:t>offset</w:t>
      </w:r>
      <w:r w:rsidRPr="00B444A4">
        <w:rPr>
          <w:rFonts w:ascii="Arial Narrow" w:hAnsi="Arial Narrow" w:cs="Arial"/>
          <w:lang w:eastAsia="fr-FR"/>
        </w:rPr>
        <w:t xml:space="preserve"> in certain regions by the anticipation of a future decline in customer activity. </w:t>
      </w:r>
    </w:p>
    <w:p w14:paraId="319A7929" w14:textId="77777777" w:rsidR="00492024" w:rsidRPr="00B12E05" w:rsidRDefault="00C3121E" w:rsidP="00C3121E">
      <w:pPr>
        <w:widowControl w:val="0"/>
        <w:suppressAutoHyphens/>
        <w:spacing w:after="120"/>
        <w:rPr>
          <w:rFonts w:ascii="Arial Narrow" w:eastAsia="MS Mincho" w:hAnsi="Arial Narrow" w:cs="Arial"/>
          <w:lang w:val="en-GB" w:eastAsia="fr-FR"/>
        </w:rPr>
      </w:pPr>
      <w:r w:rsidRPr="00297CDE">
        <w:rPr>
          <w:rFonts w:ascii="Arial Narrow" w:eastAsia="MS Mincho" w:hAnsi="Arial Narrow" w:cs="Arial"/>
          <w:lang w:val="en-GB" w:eastAsia="fr-FR"/>
        </w:rPr>
        <w:t xml:space="preserve">Revenues from other activities (factoring and services) rose by +1.2% compared to Q1-2019. </w:t>
      </w:r>
      <w:r w:rsidRPr="00B12E05">
        <w:rPr>
          <w:rFonts w:ascii="Arial Narrow" w:eastAsia="MS Mincho" w:hAnsi="Arial Narrow" w:cs="Arial"/>
          <w:lang w:val="en-GB" w:eastAsia="fr-FR"/>
        </w:rPr>
        <w:t xml:space="preserve">The fall in factoring revenues in Germany is within an environment of controlled margins and risks and is more than offset by </w:t>
      </w:r>
      <w:proofErr w:type="gramStart"/>
      <w:r w:rsidRPr="00B12E05">
        <w:rPr>
          <w:rFonts w:ascii="Arial Narrow" w:eastAsia="MS Mincho" w:hAnsi="Arial Narrow" w:cs="Arial"/>
          <w:lang w:val="en-GB" w:eastAsia="fr-FR"/>
        </w:rPr>
        <w:t>positive growth</w:t>
      </w:r>
      <w:proofErr w:type="gramEnd"/>
      <w:r w:rsidRPr="00B12E05">
        <w:rPr>
          <w:rFonts w:ascii="Arial Narrow" w:eastAsia="MS Mincho" w:hAnsi="Arial Narrow" w:cs="Arial"/>
          <w:lang w:val="en-GB" w:eastAsia="fr-FR"/>
        </w:rPr>
        <w:t xml:space="preserve"> in revenues from services.</w:t>
      </w:r>
    </w:p>
    <w:tbl>
      <w:tblPr>
        <w:tblW w:w="5963" w:type="dxa"/>
        <w:jc w:val="center"/>
        <w:tblLook w:val="04A0" w:firstRow="1" w:lastRow="0" w:firstColumn="1" w:lastColumn="0" w:noHBand="0" w:noVBand="1"/>
      </w:tblPr>
      <w:tblGrid>
        <w:gridCol w:w="2177"/>
        <w:gridCol w:w="968"/>
        <w:gridCol w:w="956"/>
        <w:gridCol w:w="796"/>
        <w:gridCol w:w="1066"/>
      </w:tblGrid>
      <w:tr w:rsidR="009113BD" w:rsidRPr="009113BD" w14:paraId="41D6BD7F" w14:textId="77777777" w:rsidTr="002D46AD">
        <w:trPr>
          <w:trHeight w:val="340"/>
          <w:jc w:val="center"/>
        </w:trPr>
        <w:tc>
          <w:tcPr>
            <w:tcW w:w="2177" w:type="dxa"/>
            <w:tcBorders>
              <w:top w:val="nil"/>
              <w:left w:val="nil"/>
              <w:bottom w:val="single" w:sz="4" w:space="0" w:color="FFFFFF"/>
              <w:right w:val="nil"/>
            </w:tcBorders>
            <w:shd w:val="clear" w:color="000000" w:fill="03365F"/>
            <w:noWrap/>
            <w:vAlign w:val="center"/>
            <w:hideMark/>
          </w:tcPr>
          <w:p w14:paraId="0E26D863" w14:textId="77777777" w:rsidR="009113BD" w:rsidRPr="009113BD" w:rsidRDefault="009113BD" w:rsidP="009113BD">
            <w:pPr>
              <w:spacing w:after="0" w:line="240" w:lineRule="auto"/>
              <w:jc w:val="center"/>
              <w:rPr>
                <w:rFonts w:eastAsia="Times New Roman" w:cs="Calibri"/>
                <w:b/>
                <w:bCs/>
                <w:color w:val="FFFFFF"/>
                <w:lang w:val="en-GB" w:eastAsia="en-GB"/>
              </w:rPr>
            </w:pPr>
            <w:r w:rsidRPr="009113BD">
              <w:rPr>
                <w:rFonts w:eastAsia="Times New Roman" w:cs="Calibri"/>
                <w:b/>
                <w:bCs/>
                <w:color w:val="FFFFFF"/>
                <w:lang w:val="en-GB" w:eastAsia="en-GB"/>
              </w:rPr>
              <w:t>Total revenue - in €m</w:t>
            </w:r>
          </w:p>
        </w:tc>
        <w:tc>
          <w:tcPr>
            <w:tcW w:w="968" w:type="dxa"/>
            <w:tcBorders>
              <w:top w:val="nil"/>
              <w:left w:val="nil"/>
              <w:bottom w:val="nil"/>
              <w:right w:val="nil"/>
            </w:tcBorders>
            <w:shd w:val="clear" w:color="000000" w:fill="03365F"/>
            <w:vAlign w:val="center"/>
            <w:hideMark/>
          </w:tcPr>
          <w:p w14:paraId="0348142D" w14:textId="77777777" w:rsidR="009113BD" w:rsidRPr="009113BD" w:rsidRDefault="009113BD" w:rsidP="009113BD">
            <w:pPr>
              <w:spacing w:after="0" w:line="240" w:lineRule="auto"/>
              <w:jc w:val="right"/>
              <w:rPr>
                <w:rFonts w:eastAsia="Times New Roman" w:cs="Calibri"/>
                <w:b/>
                <w:bCs/>
                <w:color w:val="FFFFFF"/>
                <w:lang w:val="en-GB" w:eastAsia="en-GB"/>
              </w:rPr>
            </w:pPr>
            <w:r w:rsidRPr="009113BD">
              <w:rPr>
                <w:rFonts w:eastAsia="Times New Roman" w:cs="Calibri"/>
                <w:b/>
                <w:bCs/>
                <w:color w:val="FFFFFF"/>
                <w:lang w:val="en-GB" w:eastAsia="en-GB"/>
              </w:rPr>
              <w:t>Q1-19</w:t>
            </w:r>
          </w:p>
        </w:tc>
        <w:tc>
          <w:tcPr>
            <w:tcW w:w="956" w:type="dxa"/>
            <w:tcBorders>
              <w:top w:val="nil"/>
              <w:left w:val="nil"/>
              <w:bottom w:val="nil"/>
              <w:right w:val="nil"/>
            </w:tcBorders>
            <w:shd w:val="clear" w:color="000000" w:fill="18B3B9"/>
            <w:noWrap/>
            <w:vAlign w:val="center"/>
            <w:hideMark/>
          </w:tcPr>
          <w:p w14:paraId="7F3ABD63" w14:textId="77777777" w:rsidR="009113BD" w:rsidRPr="009113BD" w:rsidRDefault="009113BD" w:rsidP="009113BD">
            <w:pPr>
              <w:spacing w:after="0" w:line="240" w:lineRule="auto"/>
              <w:jc w:val="right"/>
              <w:rPr>
                <w:rFonts w:eastAsia="Times New Roman" w:cs="Calibri"/>
                <w:b/>
                <w:bCs/>
                <w:color w:val="FFFFFF"/>
                <w:lang w:val="en-GB" w:eastAsia="en-GB"/>
              </w:rPr>
            </w:pPr>
            <w:r w:rsidRPr="009113BD">
              <w:rPr>
                <w:rFonts w:eastAsia="Times New Roman" w:cs="Calibri"/>
                <w:b/>
                <w:bCs/>
                <w:color w:val="FFFFFF"/>
                <w:lang w:val="en-GB" w:eastAsia="en-GB"/>
              </w:rPr>
              <w:t>Q1-20</w:t>
            </w:r>
          </w:p>
        </w:tc>
        <w:tc>
          <w:tcPr>
            <w:tcW w:w="796" w:type="dxa"/>
            <w:tcBorders>
              <w:top w:val="nil"/>
              <w:left w:val="nil"/>
              <w:bottom w:val="nil"/>
              <w:right w:val="nil"/>
            </w:tcBorders>
            <w:shd w:val="clear" w:color="000000" w:fill="03365F"/>
            <w:noWrap/>
            <w:vAlign w:val="center"/>
            <w:hideMark/>
          </w:tcPr>
          <w:p w14:paraId="0B808445" w14:textId="77777777" w:rsidR="009113BD" w:rsidRPr="009113BD" w:rsidRDefault="009113BD" w:rsidP="009113BD">
            <w:pPr>
              <w:spacing w:after="0" w:line="240" w:lineRule="auto"/>
              <w:jc w:val="center"/>
              <w:rPr>
                <w:rFonts w:eastAsia="Times New Roman" w:cs="Calibri"/>
                <w:b/>
                <w:bCs/>
                <w:color w:val="FFFFFF"/>
                <w:lang w:val="en-GB" w:eastAsia="en-GB"/>
              </w:rPr>
            </w:pPr>
            <w:r w:rsidRPr="009113BD">
              <w:rPr>
                <w:rFonts w:eastAsia="Times New Roman" w:cs="Calibri"/>
                <w:b/>
                <w:bCs/>
                <w:color w:val="FFFFFF"/>
                <w:lang w:val="en-GB" w:eastAsia="en-GB"/>
              </w:rPr>
              <w:t>%</w:t>
            </w:r>
          </w:p>
        </w:tc>
        <w:tc>
          <w:tcPr>
            <w:tcW w:w="1066" w:type="dxa"/>
            <w:tcBorders>
              <w:top w:val="nil"/>
              <w:left w:val="nil"/>
              <w:bottom w:val="nil"/>
              <w:right w:val="nil"/>
            </w:tcBorders>
            <w:shd w:val="clear" w:color="000000" w:fill="03365F"/>
            <w:vAlign w:val="center"/>
            <w:hideMark/>
          </w:tcPr>
          <w:p w14:paraId="5C5EF480" w14:textId="77777777" w:rsidR="009113BD" w:rsidRPr="009113BD" w:rsidRDefault="009113BD" w:rsidP="006F2A39">
            <w:pPr>
              <w:spacing w:after="0" w:line="240" w:lineRule="auto"/>
              <w:jc w:val="center"/>
              <w:rPr>
                <w:rFonts w:eastAsia="Times New Roman" w:cs="Calibri"/>
                <w:b/>
                <w:bCs/>
                <w:color w:val="FFFFFF"/>
                <w:lang w:val="en-GB" w:eastAsia="en-GB"/>
              </w:rPr>
            </w:pPr>
            <w:r w:rsidRPr="009113BD">
              <w:rPr>
                <w:rFonts w:eastAsia="Times New Roman" w:cs="Calibri"/>
                <w:b/>
                <w:bCs/>
                <w:color w:val="FFFFFF"/>
                <w:lang w:val="en-GB" w:eastAsia="en-GB"/>
              </w:rPr>
              <w:t>% ex. FX</w:t>
            </w:r>
            <w:r w:rsidR="006F2A39" w:rsidRPr="006F2A39">
              <w:rPr>
                <w:rStyle w:val="Appelnotedebasdep"/>
                <w:rFonts w:eastAsia="Times New Roman" w:cs="Calibri"/>
                <w:b/>
                <w:bCs/>
                <w:color w:val="FFFFFF"/>
              </w:rPr>
              <w:footnoteReference w:customMarkFollows="1" w:id="2"/>
              <w:sym w:font="Symbol" w:char="F02A"/>
            </w:r>
          </w:p>
        </w:tc>
      </w:tr>
      <w:tr w:rsidR="009113BD" w:rsidRPr="009113BD" w14:paraId="6AD9DA00" w14:textId="77777777" w:rsidTr="006F2A39">
        <w:trPr>
          <w:trHeight w:val="227"/>
          <w:jc w:val="center"/>
        </w:trPr>
        <w:tc>
          <w:tcPr>
            <w:tcW w:w="2177" w:type="dxa"/>
            <w:tcBorders>
              <w:top w:val="single" w:sz="4" w:space="0" w:color="BFBFBF"/>
              <w:left w:val="nil"/>
              <w:bottom w:val="single" w:sz="4" w:space="0" w:color="BFBFBF"/>
              <w:right w:val="nil"/>
            </w:tcBorders>
            <w:shd w:val="clear" w:color="auto" w:fill="auto"/>
            <w:noWrap/>
            <w:vAlign w:val="center"/>
            <w:hideMark/>
          </w:tcPr>
          <w:p w14:paraId="663099A9" w14:textId="77777777" w:rsidR="009113BD" w:rsidRPr="009113BD" w:rsidRDefault="009113BD" w:rsidP="009113BD">
            <w:pPr>
              <w:spacing w:after="0" w:line="240" w:lineRule="auto"/>
              <w:jc w:val="left"/>
              <w:rPr>
                <w:rFonts w:eastAsia="Times New Roman" w:cs="Calibri"/>
                <w:lang w:val="en-GB" w:eastAsia="en-GB"/>
              </w:rPr>
            </w:pPr>
            <w:r w:rsidRPr="009113BD">
              <w:rPr>
                <w:rFonts w:eastAsia="Times New Roman" w:cs="Calibri"/>
                <w:lang w:val="en-GB" w:eastAsia="en-GB"/>
              </w:rPr>
              <w:t>Northern Europe</w:t>
            </w:r>
          </w:p>
        </w:tc>
        <w:tc>
          <w:tcPr>
            <w:tcW w:w="968" w:type="dxa"/>
            <w:tcBorders>
              <w:top w:val="single" w:sz="4" w:space="0" w:color="BFBFBF"/>
              <w:left w:val="nil"/>
              <w:bottom w:val="single" w:sz="4" w:space="0" w:color="BFBFBF"/>
              <w:right w:val="nil"/>
            </w:tcBorders>
            <w:shd w:val="clear" w:color="000000" w:fill="F2F2F2"/>
            <w:noWrap/>
            <w:vAlign w:val="center"/>
            <w:hideMark/>
          </w:tcPr>
          <w:p w14:paraId="7183D124"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80.2</w:t>
            </w:r>
          </w:p>
        </w:tc>
        <w:tc>
          <w:tcPr>
            <w:tcW w:w="956" w:type="dxa"/>
            <w:tcBorders>
              <w:top w:val="single" w:sz="4" w:space="0" w:color="BFBFBF"/>
              <w:left w:val="nil"/>
              <w:bottom w:val="single" w:sz="4" w:space="0" w:color="BFBFBF"/>
              <w:right w:val="nil"/>
            </w:tcBorders>
            <w:shd w:val="clear" w:color="000000" w:fill="D1F0F1"/>
            <w:noWrap/>
            <w:vAlign w:val="center"/>
            <w:hideMark/>
          </w:tcPr>
          <w:p w14:paraId="68FB4FBB"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81.5</w:t>
            </w:r>
          </w:p>
        </w:tc>
        <w:tc>
          <w:tcPr>
            <w:tcW w:w="796" w:type="dxa"/>
            <w:tcBorders>
              <w:top w:val="single" w:sz="4" w:space="0" w:color="BFBFBF"/>
              <w:left w:val="nil"/>
              <w:bottom w:val="single" w:sz="4" w:space="0" w:color="BFBFBF"/>
              <w:right w:val="nil"/>
            </w:tcBorders>
            <w:shd w:val="clear" w:color="auto" w:fill="auto"/>
            <w:noWrap/>
            <w:vAlign w:val="center"/>
            <w:hideMark/>
          </w:tcPr>
          <w:p w14:paraId="0C2EAA4E"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+1.6%</w:t>
            </w:r>
          </w:p>
        </w:tc>
        <w:tc>
          <w:tcPr>
            <w:tcW w:w="1066" w:type="dxa"/>
            <w:tcBorders>
              <w:top w:val="single" w:sz="4" w:space="0" w:color="BFBFBF"/>
              <w:left w:val="nil"/>
              <w:bottom w:val="single" w:sz="4" w:space="0" w:color="BFBFBF"/>
              <w:right w:val="nil"/>
            </w:tcBorders>
            <w:shd w:val="clear" w:color="000000" w:fill="FFFFFF"/>
            <w:noWrap/>
            <w:vAlign w:val="center"/>
            <w:hideMark/>
          </w:tcPr>
          <w:p w14:paraId="75481EFE"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+1.6%</w:t>
            </w:r>
          </w:p>
        </w:tc>
      </w:tr>
      <w:tr w:rsidR="009113BD" w:rsidRPr="009113BD" w14:paraId="14FB19BF" w14:textId="77777777" w:rsidTr="006F2A39">
        <w:trPr>
          <w:trHeight w:val="227"/>
          <w:jc w:val="center"/>
        </w:trPr>
        <w:tc>
          <w:tcPr>
            <w:tcW w:w="2177" w:type="dxa"/>
            <w:tcBorders>
              <w:top w:val="nil"/>
              <w:left w:val="nil"/>
              <w:bottom w:val="single" w:sz="4" w:space="0" w:color="BFBFBF"/>
              <w:right w:val="nil"/>
            </w:tcBorders>
            <w:shd w:val="clear" w:color="auto" w:fill="auto"/>
            <w:noWrap/>
            <w:vAlign w:val="center"/>
            <w:hideMark/>
          </w:tcPr>
          <w:p w14:paraId="428D2936" w14:textId="77777777" w:rsidR="009113BD" w:rsidRPr="009113BD" w:rsidRDefault="009113BD" w:rsidP="009113BD">
            <w:pPr>
              <w:spacing w:after="0" w:line="240" w:lineRule="auto"/>
              <w:jc w:val="left"/>
              <w:rPr>
                <w:rFonts w:eastAsia="Times New Roman" w:cs="Calibri"/>
                <w:lang w:val="en-GB" w:eastAsia="en-GB"/>
              </w:rPr>
            </w:pPr>
            <w:r w:rsidRPr="009113BD">
              <w:rPr>
                <w:rFonts w:eastAsia="Times New Roman" w:cs="Calibri"/>
                <w:lang w:val="en-GB" w:eastAsia="en-GB"/>
              </w:rPr>
              <w:t>Western Europe</w:t>
            </w:r>
          </w:p>
        </w:tc>
        <w:tc>
          <w:tcPr>
            <w:tcW w:w="968" w:type="dxa"/>
            <w:tcBorders>
              <w:top w:val="nil"/>
              <w:left w:val="nil"/>
              <w:bottom w:val="single" w:sz="4" w:space="0" w:color="BFBFBF"/>
              <w:right w:val="nil"/>
            </w:tcBorders>
            <w:shd w:val="clear" w:color="000000" w:fill="F2F2F2"/>
            <w:noWrap/>
            <w:vAlign w:val="center"/>
            <w:hideMark/>
          </w:tcPr>
          <w:p w14:paraId="3C72D628"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74.9</w:t>
            </w:r>
          </w:p>
        </w:tc>
        <w:tc>
          <w:tcPr>
            <w:tcW w:w="956" w:type="dxa"/>
            <w:tcBorders>
              <w:top w:val="nil"/>
              <w:left w:val="nil"/>
              <w:bottom w:val="nil"/>
              <w:right w:val="nil"/>
            </w:tcBorders>
            <w:shd w:val="clear" w:color="000000" w:fill="D1F0F1"/>
            <w:noWrap/>
            <w:vAlign w:val="center"/>
            <w:hideMark/>
          </w:tcPr>
          <w:p w14:paraId="1C8E98B2"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71.8</w:t>
            </w:r>
          </w:p>
        </w:tc>
        <w:tc>
          <w:tcPr>
            <w:tcW w:w="796" w:type="dxa"/>
            <w:tcBorders>
              <w:top w:val="nil"/>
              <w:left w:val="nil"/>
              <w:bottom w:val="single" w:sz="4" w:space="0" w:color="BFBFBF"/>
              <w:right w:val="nil"/>
            </w:tcBorders>
            <w:shd w:val="clear" w:color="000000" w:fill="FFFFFF"/>
            <w:noWrap/>
            <w:vAlign w:val="center"/>
            <w:hideMark/>
          </w:tcPr>
          <w:p w14:paraId="2584A82D"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(4.0)%</w:t>
            </w:r>
          </w:p>
        </w:tc>
        <w:tc>
          <w:tcPr>
            <w:tcW w:w="1066" w:type="dxa"/>
            <w:tcBorders>
              <w:top w:val="nil"/>
              <w:left w:val="nil"/>
              <w:bottom w:val="single" w:sz="4" w:space="0" w:color="BFBFBF"/>
              <w:right w:val="nil"/>
            </w:tcBorders>
            <w:shd w:val="clear" w:color="000000" w:fill="FFFFFF"/>
            <w:noWrap/>
            <w:vAlign w:val="center"/>
            <w:hideMark/>
          </w:tcPr>
          <w:p w14:paraId="6D349312"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(4.5)%</w:t>
            </w:r>
          </w:p>
        </w:tc>
      </w:tr>
      <w:tr w:rsidR="009113BD" w:rsidRPr="009113BD" w14:paraId="3374368D" w14:textId="77777777" w:rsidTr="006F2A39">
        <w:trPr>
          <w:trHeight w:val="227"/>
          <w:jc w:val="center"/>
        </w:trPr>
        <w:tc>
          <w:tcPr>
            <w:tcW w:w="2177" w:type="dxa"/>
            <w:tcBorders>
              <w:top w:val="nil"/>
              <w:left w:val="nil"/>
              <w:bottom w:val="single" w:sz="4" w:space="0" w:color="BFBFBF"/>
              <w:right w:val="nil"/>
            </w:tcBorders>
            <w:shd w:val="clear" w:color="auto" w:fill="auto"/>
            <w:noWrap/>
            <w:vAlign w:val="center"/>
            <w:hideMark/>
          </w:tcPr>
          <w:p w14:paraId="00175FC6" w14:textId="77777777" w:rsidR="009113BD" w:rsidRPr="009113BD" w:rsidRDefault="009113BD" w:rsidP="009113BD">
            <w:pPr>
              <w:spacing w:after="0" w:line="240" w:lineRule="auto"/>
              <w:jc w:val="left"/>
              <w:rPr>
                <w:rFonts w:eastAsia="Times New Roman" w:cs="Calibri"/>
                <w:lang w:val="en-GB" w:eastAsia="en-GB"/>
              </w:rPr>
            </w:pPr>
            <w:r w:rsidRPr="009113BD">
              <w:rPr>
                <w:rFonts w:eastAsia="Times New Roman" w:cs="Calibri"/>
                <w:lang w:val="en-GB" w:eastAsia="en-GB"/>
              </w:rPr>
              <w:t>Central &amp; Eastern Europe</w:t>
            </w:r>
          </w:p>
        </w:tc>
        <w:tc>
          <w:tcPr>
            <w:tcW w:w="968" w:type="dxa"/>
            <w:tcBorders>
              <w:top w:val="nil"/>
              <w:left w:val="nil"/>
              <w:bottom w:val="single" w:sz="4" w:space="0" w:color="BFBFBF"/>
              <w:right w:val="nil"/>
            </w:tcBorders>
            <w:shd w:val="clear" w:color="000000" w:fill="F2F2F2"/>
            <w:noWrap/>
            <w:vAlign w:val="center"/>
            <w:hideMark/>
          </w:tcPr>
          <w:p w14:paraId="1BC1E8ED"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33.7</w:t>
            </w:r>
          </w:p>
        </w:tc>
        <w:tc>
          <w:tcPr>
            <w:tcW w:w="956" w:type="dxa"/>
            <w:tcBorders>
              <w:top w:val="single" w:sz="4" w:space="0" w:color="BFBFBF"/>
              <w:left w:val="nil"/>
              <w:bottom w:val="single" w:sz="4" w:space="0" w:color="BFBFBF"/>
              <w:right w:val="nil"/>
            </w:tcBorders>
            <w:shd w:val="clear" w:color="000000" w:fill="D1F0F1"/>
            <w:noWrap/>
            <w:vAlign w:val="center"/>
            <w:hideMark/>
          </w:tcPr>
          <w:p w14:paraId="79119633"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37.6</w:t>
            </w:r>
          </w:p>
        </w:tc>
        <w:tc>
          <w:tcPr>
            <w:tcW w:w="796" w:type="dxa"/>
            <w:tcBorders>
              <w:top w:val="nil"/>
              <w:left w:val="nil"/>
              <w:bottom w:val="single" w:sz="4" w:space="0" w:color="BFBFBF"/>
              <w:right w:val="nil"/>
            </w:tcBorders>
            <w:shd w:val="clear" w:color="000000" w:fill="FFFFFF"/>
            <w:noWrap/>
            <w:vAlign w:val="center"/>
            <w:hideMark/>
          </w:tcPr>
          <w:p w14:paraId="32BC22A8"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+11.6%</w:t>
            </w:r>
          </w:p>
        </w:tc>
        <w:tc>
          <w:tcPr>
            <w:tcW w:w="1066" w:type="dxa"/>
            <w:tcBorders>
              <w:top w:val="nil"/>
              <w:left w:val="nil"/>
              <w:bottom w:val="single" w:sz="4" w:space="0" w:color="BFBFBF"/>
              <w:right w:val="nil"/>
            </w:tcBorders>
            <w:shd w:val="clear" w:color="000000" w:fill="FFFFFF"/>
            <w:noWrap/>
            <w:vAlign w:val="center"/>
            <w:hideMark/>
          </w:tcPr>
          <w:p w14:paraId="768A51E2"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+2.3%</w:t>
            </w:r>
          </w:p>
        </w:tc>
      </w:tr>
      <w:tr w:rsidR="009113BD" w:rsidRPr="009113BD" w14:paraId="4882C7C8" w14:textId="77777777" w:rsidTr="006F2A39">
        <w:trPr>
          <w:trHeight w:val="227"/>
          <w:jc w:val="center"/>
        </w:trPr>
        <w:tc>
          <w:tcPr>
            <w:tcW w:w="2177" w:type="dxa"/>
            <w:tcBorders>
              <w:top w:val="nil"/>
              <w:left w:val="nil"/>
              <w:bottom w:val="single" w:sz="4" w:space="0" w:color="BFBFBF"/>
              <w:right w:val="nil"/>
            </w:tcBorders>
            <w:shd w:val="clear" w:color="auto" w:fill="auto"/>
            <w:noWrap/>
            <w:vAlign w:val="center"/>
            <w:hideMark/>
          </w:tcPr>
          <w:p w14:paraId="0C5D84FC" w14:textId="77777777" w:rsidR="009113BD" w:rsidRPr="009113BD" w:rsidRDefault="009113BD" w:rsidP="009113BD">
            <w:pPr>
              <w:spacing w:after="0" w:line="240" w:lineRule="auto"/>
              <w:jc w:val="left"/>
              <w:rPr>
                <w:rFonts w:eastAsia="Times New Roman" w:cs="Calibri"/>
                <w:lang w:val="en-GB" w:eastAsia="en-GB"/>
              </w:rPr>
            </w:pPr>
            <w:r w:rsidRPr="009113BD">
              <w:rPr>
                <w:rFonts w:eastAsia="Times New Roman" w:cs="Calibri"/>
                <w:lang w:val="en-GB" w:eastAsia="en-GB"/>
              </w:rPr>
              <w:t>Mediterranean &amp; Africa</w:t>
            </w:r>
          </w:p>
        </w:tc>
        <w:tc>
          <w:tcPr>
            <w:tcW w:w="968" w:type="dxa"/>
            <w:tcBorders>
              <w:top w:val="nil"/>
              <w:left w:val="nil"/>
              <w:bottom w:val="single" w:sz="4" w:space="0" w:color="BFBFBF"/>
              <w:right w:val="nil"/>
            </w:tcBorders>
            <w:shd w:val="clear" w:color="000000" w:fill="F2F2F2"/>
            <w:noWrap/>
            <w:vAlign w:val="center"/>
            <w:hideMark/>
          </w:tcPr>
          <w:p w14:paraId="7AC36F24"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96.8</w:t>
            </w:r>
          </w:p>
        </w:tc>
        <w:tc>
          <w:tcPr>
            <w:tcW w:w="956" w:type="dxa"/>
            <w:tcBorders>
              <w:top w:val="nil"/>
              <w:left w:val="nil"/>
              <w:bottom w:val="nil"/>
              <w:right w:val="nil"/>
            </w:tcBorders>
            <w:shd w:val="clear" w:color="000000" w:fill="D1F0F1"/>
            <w:noWrap/>
            <w:vAlign w:val="center"/>
            <w:hideMark/>
          </w:tcPr>
          <w:p w14:paraId="368BAFBD"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102.1</w:t>
            </w:r>
          </w:p>
        </w:tc>
        <w:tc>
          <w:tcPr>
            <w:tcW w:w="796" w:type="dxa"/>
            <w:tcBorders>
              <w:top w:val="nil"/>
              <w:left w:val="nil"/>
              <w:bottom w:val="single" w:sz="4" w:space="0" w:color="BFBFBF"/>
              <w:right w:val="nil"/>
            </w:tcBorders>
            <w:shd w:val="clear" w:color="000000" w:fill="FFFFFF"/>
            <w:noWrap/>
            <w:vAlign w:val="center"/>
            <w:hideMark/>
          </w:tcPr>
          <w:p w14:paraId="27E1C2A6"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+5.5%</w:t>
            </w:r>
          </w:p>
        </w:tc>
        <w:tc>
          <w:tcPr>
            <w:tcW w:w="1066" w:type="dxa"/>
            <w:tcBorders>
              <w:top w:val="nil"/>
              <w:left w:val="nil"/>
              <w:bottom w:val="single" w:sz="4" w:space="0" w:color="BFBFBF"/>
              <w:right w:val="nil"/>
            </w:tcBorders>
            <w:shd w:val="clear" w:color="000000" w:fill="FFFFFF"/>
            <w:noWrap/>
            <w:vAlign w:val="center"/>
            <w:hideMark/>
          </w:tcPr>
          <w:p w14:paraId="1AF51DBE"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+5.7%</w:t>
            </w:r>
          </w:p>
        </w:tc>
      </w:tr>
      <w:tr w:rsidR="009113BD" w:rsidRPr="009113BD" w14:paraId="0F55E770" w14:textId="77777777" w:rsidTr="006F2A39">
        <w:trPr>
          <w:trHeight w:val="227"/>
          <w:jc w:val="center"/>
        </w:trPr>
        <w:tc>
          <w:tcPr>
            <w:tcW w:w="2177" w:type="dxa"/>
            <w:tcBorders>
              <w:top w:val="nil"/>
              <w:left w:val="nil"/>
              <w:bottom w:val="single" w:sz="4" w:space="0" w:color="BFBFBF"/>
              <w:right w:val="nil"/>
            </w:tcBorders>
            <w:shd w:val="clear" w:color="auto" w:fill="auto"/>
            <w:noWrap/>
            <w:vAlign w:val="center"/>
            <w:hideMark/>
          </w:tcPr>
          <w:p w14:paraId="5C37219D" w14:textId="77777777" w:rsidR="009113BD" w:rsidRPr="009113BD" w:rsidRDefault="009113BD" w:rsidP="009113BD">
            <w:pPr>
              <w:spacing w:after="0" w:line="240" w:lineRule="auto"/>
              <w:jc w:val="left"/>
              <w:rPr>
                <w:rFonts w:eastAsia="Times New Roman" w:cs="Calibri"/>
                <w:lang w:val="en-GB" w:eastAsia="en-GB"/>
              </w:rPr>
            </w:pPr>
            <w:r w:rsidRPr="009113BD">
              <w:rPr>
                <w:rFonts w:eastAsia="Times New Roman" w:cs="Calibri"/>
                <w:lang w:val="en-GB" w:eastAsia="en-GB"/>
              </w:rPr>
              <w:t>North America</w:t>
            </w:r>
          </w:p>
        </w:tc>
        <w:tc>
          <w:tcPr>
            <w:tcW w:w="968" w:type="dxa"/>
            <w:tcBorders>
              <w:top w:val="nil"/>
              <w:left w:val="nil"/>
              <w:bottom w:val="single" w:sz="4" w:space="0" w:color="BFBFBF"/>
              <w:right w:val="nil"/>
            </w:tcBorders>
            <w:shd w:val="clear" w:color="000000" w:fill="F2F2F2"/>
            <w:noWrap/>
            <w:vAlign w:val="center"/>
            <w:hideMark/>
          </w:tcPr>
          <w:p w14:paraId="4A117BB2"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31.5</w:t>
            </w:r>
          </w:p>
        </w:tc>
        <w:tc>
          <w:tcPr>
            <w:tcW w:w="956" w:type="dxa"/>
            <w:tcBorders>
              <w:top w:val="single" w:sz="4" w:space="0" w:color="BFBFBF"/>
              <w:left w:val="nil"/>
              <w:bottom w:val="single" w:sz="4" w:space="0" w:color="BFBFBF"/>
              <w:right w:val="nil"/>
            </w:tcBorders>
            <w:shd w:val="clear" w:color="000000" w:fill="D1F0F1"/>
            <w:noWrap/>
            <w:vAlign w:val="center"/>
            <w:hideMark/>
          </w:tcPr>
          <w:p w14:paraId="1BC33894"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34.7</w:t>
            </w:r>
          </w:p>
        </w:tc>
        <w:tc>
          <w:tcPr>
            <w:tcW w:w="796" w:type="dxa"/>
            <w:tcBorders>
              <w:top w:val="nil"/>
              <w:left w:val="nil"/>
              <w:bottom w:val="single" w:sz="4" w:space="0" w:color="BFBFBF"/>
              <w:right w:val="nil"/>
            </w:tcBorders>
            <w:shd w:val="clear" w:color="000000" w:fill="FFFFFF"/>
            <w:noWrap/>
            <w:vAlign w:val="center"/>
            <w:hideMark/>
          </w:tcPr>
          <w:p w14:paraId="2B5E423C"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+10.2%</w:t>
            </w:r>
          </w:p>
        </w:tc>
        <w:tc>
          <w:tcPr>
            <w:tcW w:w="1066" w:type="dxa"/>
            <w:tcBorders>
              <w:top w:val="nil"/>
              <w:left w:val="nil"/>
              <w:bottom w:val="single" w:sz="4" w:space="0" w:color="BFBFBF"/>
              <w:right w:val="nil"/>
            </w:tcBorders>
            <w:shd w:val="clear" w:color="000000" w:fill="FFFFFF"/>
            <w:noWrap/>
            <w:vAlign w:val="center"/>
            <w:hideMark/>
          </w:tcPr>
          <w:p w14:paraId="5A1FC1AD"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+7.1%</w:t>
            </w:r>
          </w:p>
        </w:tc>
      </w:tr>
      <w:tr w:rsidR="009113BD" w:rsidRPr="009113BD" w14:paraId="0BFF1C5D" w14:textId="77777777" w:rsidTr="006F2A39">
        <w:trPr>
          <w:trHeight w:val="227"/>
          <w:jc w:val="center"/>
        </w:trPr>
        <w:tc>
          <w:tcPr>
            <w:tcW w:w="2177" w:type="dxa"/>
            <w:tcBorders>
              <w:top w:val="nil"/>
              <w:left w:val="nil"/>
              <w:bottom w:val="single" w:sz="4" w:space="0" w:color="BFBFBF"/>
              <w:right w:val="nil"/>
            </w:tcBorders>
            <w:shd w:val="clear" w:color="auto" w:fill="auto"/>
            <w:noWrap/>
            <w:vAlign w:val="center"/>
            <w:hideMark/>
          </w:tcPr>
          <w:p w14:paraId="6D9C6224" w14:textId="77777777" w:rsidR="009113BD" w:rsidRPr="009113BD" w:rsidRDefault="009113BD" w:rsidP="009113BD">
            <w:pPr>
              <w:spacing w:after="0" w:line="240" w:lineRule="auto"/>
              <w:jc w:val="left"/>
              <w:rPr>
                <w:rFonts w:eastAsia="Times New Roman" w:cs="Calibri"/>
                <w:lang w:val="en-GB" w:eastAsia="en-GB"/>
              </w:rPr>
            </w:pPr>
            <w:r w:rsidRPr="009113BD">
              <w:rPr>
                <w:rFonts w:eastAsia="Times New Roman" w:cs="Calibri"/>
                <w:lang w:val="en-GB" w:eastAsia="en-GB"/>
              </w:rPr>
              <w:t>Latin America</w:t>
            </w:r>
          </w:p>
        </w:tc>
        <w:tc>
          <w:tcPr>
            <w:tcW w:w="968" w:type="dxa"/>
            <w:tcBorders>
              <w:top w:val="nil"/>
              <w:left w:val="nil"/>
              <w:bottom w:val="single" w:sz="4" w:space="0" w:color="BFBFBF"/>
              <w:right w:val="nil"/>
            </w:tcBorders>
            <w:shd w:val="clear" w:color="000000" w:fill="F2F2F2"/>
            <w:noWrap/>
            <w:vAlign w:val="center"/>
            <w:hideMark/>
          </w:tcPr>
          <w:p w14:paraId="236DF099"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21.1</w:t>
            </w:r>
          </w:p>
        </w:tc>
        <w:tc>
          <w:tcPr>
            <w:tcW w:w="956" w:type="dxa"/>
            <w:tcBorders>
              <w:top w:val="nil"/>
              <w:left w:val="nil"/>
              <w:bottom w:val="nil"/>
              <w:right w:val="nil"/>
            </w:tcBorders>
            <w:shd w:val="clear" w:color="000000" w:fill="D1F0F1"/>
            <w:noWrap/>
            <w:vAlign w:val="center"/>
            <w:hideMark/>
          </w:tcPr>
          <w:p w14:paraId="4BB3D840"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17.0</w:t>
            </w:r>
          </w:p>
        </w:tc>
        <w:tc>
          <w:tcPr>
            <w:tcW w:w="796" w:type="dxa"/>
            <w:tcBorders>
              <w:top w:val="nil"/>
              <w:left w:val="nil"/>
              <w:bottom w:val="single" w:sz="4" w:space="0" w:color="BFBFBF"/>
              <w:right w:val="nil"/>
            </w:tcBorders>
            <w:shd w:val="clear" w:color="000000" w:fill="FFFFFF"/>
            <w:noWrap/>
            <w:vAlign w:val="center"/>
            <w:hideMark/>
          </w:tcPr>
          <w:p w14:paraId="4D7BF1B5"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(19.5)%</w:t>
            </w:r>
          </w:p>
        </w:tc>
        <w:tc>
          <w:tcPr>
            <w:tcW w:w="1066" w:type="dxa"/>
            <w:tcBorders>
              <w:top w:val="nil"/>
              <w:left w:val="nil"/>
              <w:bottom w:val="single" w:sz="4" w:space="0" w:color="BFBFBF"/>
              <w:right w:val="nil"/>
            </w:tcBorders>
            <w:shd w:val="clear" w:color="000000" w:fill="FFFFFF"/>
            <w:noWrap/>
            <w:vAlign w:val="center"/>
            <w:hideMark/>
          </w:tcPr>
          <w:p w14:paraId="26F47A28"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(5.4)%</w:t>
            </w:r>
          </w:p>
        </w:tc>
      </w:tr>
      <w:tr w:rsidR="009113BD" w:rsidRPr="009113BD" w14:paraId="795DFEA3" w14:textId="77777777" w:rsidTr="006F2A39">
        <w:trPr>
          <w:trHeight w:val="227"/>
          <w:jc w:val="center"/>
        </w:trPr>
        <w:tc>
          <w:tcPr>
            <w:tcW w:w="2177" w:type="dxa"/>
            <w:tcBorders>
              <w:top w:val="nil"/>
              <w:left w:val="nil"/>
              <w:bottom w:val="nil"/>
              <w:right w:val="nil"/>
            </w:tcBorders>
            <w:shd w:val="clear" w:color="auto" w:fill="auto"/>
            <w:noWrap/>
            <w:vAlign w:val="center"/>
            <w:hideMark/>
          </w:tcPr>
          <w:p w14:paraId="54EFC85E" w14:textId="77777777" w:rsidR="009113BD" w:rsidRPr="009113BD" w:rsidRDefault="009113BD" w:rsidP="009113BD">
            <w:pPr>
              <w:spacing w:after="0" w:line="240" w:lineRule="auto"/>
              <w:jc w:val="left"/>
              <w:rPr>
                <w:rFonts w:eastAsia="Times New Roman" w:cs="Calibri"/>
                <w:lang w:val="en-GB" w:eastAsia="en-GB"/>
              </w:rPr>
            </w:pPr>
            <w:r w:rsidRPr="009113BD">
              <w:rPr>
                <w:rFonts w:eastAsia="Times New Roman" w:cs="Calibri"/>
                <w:lang w:val="en-GB" w:eastAsia="en-GB"/>
              </w:rPr>
              <w:t>Asia Pacific</w:t>
            </w:r>
          </w:p>
        </w:tc>
        <w:tc>
          <w:tcPr>
            <w:tcW w:w="968" w:type="dxa"/>
            <w:tcBorders>
              <w:top w:val="nil"/>
              <w:left w:val="nil"/>
              <w:bottom w:val="single" w:sz="4" w:space="0" w:color="BFBFBF"/>
              <w:right w:val="nil"/>
            </w:tcBorders>
            <w:shd w:val="clear" w:color="000000" w:fill="F2F2F2"/>
            <w:noWrap/>
            <w:vAlign w:val="center"/>
            <w:hideMark/>
          </w:tcPr>
          <w:p w14:paraId="0DE69AEA"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27.3</w:t>
            </w:r>
          </w:p>
        </w:tc>
        <w:tc>
          <w:tcPr>
            <w:tcW w:w="956" w:type="dxa"/>
            <w:tcBorders>
              <w:top w:val="single" w:sz="4" w:space="0" w:color="BFBFBF"/>
              <w:left w:val="nil"/>
              <w:bottom w:val="single" w:sz="4" w:space="0" w:color="BFBFBF"/>
              <w:right w:val="nil"/>
            </w:tcBorders>
            <w:shd w:val="clear" w:color="000000" w:fill="D1F0F1"/>
            <w:noWrap/>
            <w:vAlign w:val="center"/>
            <w:hideMark/>
          </w:tcPr>
          <w:p w14:paraId="62D1B189"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25.7</w:t>
            </w:r>
          </w:p>
        </w:tc>
        <w:tc>
          <w:tcPr>
            <w:tcW w:w="796" w:type="dxa"/>
            <w:tcBorders>
              <w:top w:val="nil"/>
              <w:left w:val="nil"/>
              <w:bottom w:val="single" w:sz="4" w:space="0" w:color="BFBFBF"/>
              <w:right w:val="nil"/>
            </w:tcBorders>
            <w:shd w:val="clear" w:color="000000" w:fill="FFFFFF"/>
            <w:noWrap/>
            <w:vAlign w:val="center"/>
            <w:hideMark/>
          </w:tcPr>
          <w:p w14:paraId="2194CD42"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(6.1)%</w:t>
            </w:r>
          </w:p>
        </w:tc>
        <w:tc>
          <w:tcPr>
            <w:tcW w:w="1066" w:type="dxa"/>
            <w:tcBorders>
              <w:top w:val="nil"/>
              <w:left w:val="nil"/>
              <w:bottom w:val="single" w:sz="4" w:space="0" w:color="BFBFBF"/>
              <w:right w:val="nil"/>
            </w:tcBorders>
            <w:shd w:val="clear" w:color="000000" w:fill="FFFFFF"/>
            <w:noWrap/>
            <w:vAlign w:val="center"/>
            <w:hideMark/>
          </w:tcPr>
          <w:p w14:paraId="64931373" w14:textId="77777777" w:rsidR="009113BD" w:rsidRPr="009113BD" w:rsidRDefault="009113BD" w:rsidP="009113BD">
            <w:pPr>
              <w:spacing w:after="0" w:line="240" w:lineRule="auto"/>
              <w:jc w:val="right"/>
              <w:rPr>
                <w:rFonts w:eastAsia="Times New Roman" w:cs="Calibri"/>
                <w:lang w:val="en-GB" w:eastAsia="en-GB"/>
              </w:rPr>
            </w:pPr>
            <w:r w:rsidRPr="009113BD">
              <w:rPr>
                <w:rFonts w:eastAsia="Times New Roman" w:cs="Calibri"/>
                <w:lang w:val="en-GB" w:eastAsia="en-GB"/>
              </w:rPr>
              <w:t>(8.3)%</w:t>
            </w:r>
          </w:p>
        </w:tc>
      </w:tr>
      <w:tr w:rsidR="009113BD" w:rsidRPr="009113BD" w14:paraId="0B282F38" w14:textId="77777777" w:rsidTr="006F2A39">
        <w:trPr>
          <w:trHeight w:val="255"/>
          <w:jc w:val="center"/>
        </w:trPr>
        <w:tc>
          <w:tcPr>
            <w:tcW w:w="2177" w:type="dxa"/>
            <w:tcBorders>
              <w:top w:val="single" w:sz="4" w:space="0" w:color="18B3B9"/>
              <w:left w:val="nil"/>
              <w:bottom w:val="single" w:sz="8" w:space="0" w:color="18B3B9"/>
              <w:right w:val="nil"/>
            </w:tcBorders>
            <w:shd w:val="clear" w:color="auto" w:fill="auto"/>
            <w:noWrap/>
            <w:vAlign w:val="center"/>
            <w:hideMark/>
          </w:tcPr>
          <w:p w14:paraId="25FEA795" w14:textId="77777777" w:rsidR="009113BD" w:rsidRPr="009113BD" w:rsidRDefault="009113BD" w:rsidP="009113BD">
            <w:pPr>
              <w:spacing w:after="0" w:line="240" w:lineRule="auto"/>
              <w:jc w:val="left"/>
              <w:rPr>
                <w:rFonts w:eastAsia="Times New Roman" w:cs="Calibri"/>
                <w:b/>
                <w:bCs/>
                <w:color w:val="18B3B9"/>
                <w:lang w:val="en-GB" w:eastAsia="en-GB"/>
              </w:rPr>
            </w:pPr>
            <w:r w:rsidRPr="009113BD">
              <w:rPr>
                <w:rFonts w:eastAsia="Times New Roman" w:cs="Calibri"/>
                <w:b/>
                <w:bCs/>
                <w:color w:val="18B3B9"/>
                <w:lang w:val="en-GB" w:eastAsia="en-GB"/>
              </w:rPr>
              <w:t>Total Group</w:t>
            </w:r>
          </w:p>
        </w:tc>
        <w:tc>
          <w:tcPr>
            <w:tcW w:w="968" w:type="dxa"/>
            <w:tcBorders>
              <w:top w:val="single" w:sz="4" w:space="0" w:color="18B3B9"/>
              <w:left w:val="nil"/>
              <w:bottom w:val="single" w:sz="8" w:space="0" w:color="18B3B9"/>
              <w:right w:val="nil"/>
            </w:tcBorders>
            <w:shd w:val="clear" w:color="000000" w:fill="F2F2F2"/>
            <w:noWrap/>
            <w:vAlign w:val="center"/>
            <w:hideMark/>
          </w:tcPr>
          <w:p w14:paraId="356FB60D" w14:textId="77777777" w:rsidR="009113BD" w:rsidRPr="009113BD" w:rsidRDefault="009113BD" w:rsidP="009113BD">
            <w:pPr>
              <w:spacing w:after="0" w:line="240" w:lineRule="auto"/>
              <w:jc w:val="right"/>
              <w:rPr>
                <w:rFonts w:eastAsia="Times New Roman" w:cs="Calibri"/>
                <w:b/>
                <w:bCs/>
                <w:color w:val="18B3B9"/>
                <w:lang w:val="en-GB" w:eastAsia="en-GB"/>
              </w:rPr>
            </w:pPr>
            <w:r w:rsidRPr="009113BD">
              <w:rPr>
                <w:rFonts w:eastAsia="Times New Roman" w:cs="Calibri"/>
                <w:b/>
                <w:bCs/>
                <w:color w:val="18B3B9"/>
                <w:lang w:val="en-GB" w:eastAsia="en-GB"/>
              </w:rPr>
              <w:t xml:space="preserve">365.5 </w:t>
            </w:r>
          </w:p>
        </w:tc>
        <w:tc>
          <w:tcPr>
            <w:tcW w:w="956" w:type="dxa"/>
            <w:tcBorders>
              <w:top w:val="single" w:sz="4" w:space="0" w:color="18B3B9"/>
              <w:left w:val="nil"/>
              <w:bottom w:val="single" w:sz="8" w:space="0" w:color="18B3B9"/>
              <w:right w:val="nil"/>
            </w:tcBorders>
            <w:shd w:val="clear" w:color="000000" w:fill="D1F0F1"/>
            <w:noWrap/>
            <w:vAlign w:val="center"/>
            <w:hideMark/>
          </w:tcPr>
          <w:p w14:paraId="19A7F009" w14:textId="77777777" w:rsidR="009113BD" w:rsidRPr="009113BD" w:rsidRDefault="009113BD" w:rsidP="009113BD">
            <w:pPr>
              <w:spacing w:after="0" w:line="240" w:lineRule="auto"/>
              <w:jc w:val="right"/>
              <w:rPr>
                <w:rFonts w:eastAsia="Times New Roman" w:cs="Calibri"/>
                <w:b/>
                <w:bCs/>
                <w:color w:val="18B3B9"/>
                <w:lang w:val="en-GB" w:eastAsia="en-GB"/>
              </w:rPr>
            </w:pPr>
            <w:r w:rsidRPr="009113BD">
              <w:rPr>
                <w:rFonts w:eastAsia="Times New Roman" w:cs="Calibri"/>
                <w:b/>
                <w:bCs/>
                <w:color w:val="18B3B9"/>
                <w:lang w:val="en-GB" w:eastAsia="en-GB"/>
              </w:rPr>
              <w:t>370.4</w:t>
            </w:r>
          </w:p>
        </w:tc>
        <w:tc>
          <w:tcPr>
            <w:tcW w:w="796" w:type="dxa"/>
            <w:tcBorders>
              <w:top w:val="single" w:sz="4" w:space="0" w:color="18B3B9"/>
              <w:left w:val="nil"/>
              <w:bottom w:val="single" w:sz="8" w:space="0" w:color="18B3B9"/>
              <w:right w:val="nil"/>
            </w:tcBorders>
            <w:shd w:val="clear" w:color="000000" w:fill="FFFFFF"/>
            <w:noWrap/>
            <w:vAlign w:val="center"/>
            <w:hideMark/>
          </w:tcPr>
          <w:p w14:paraId="5AB03E8B" w14:textId="77777777" w:rsidR="009113BD" w:rsidRPr="009113BD" w:rsidRDefault="009113BD" w:rsidP="009113BD">
            <w:pPr>
              <w:spacing w:after="0" w:line="240" w:lineRule="auto"/>
              <w:jc w:val="right"/>
              <w:rPr>
                <w:rFonts w:eastAsia="Times New Roman" w:cs="Calibri"/>
                <w:b/>
                <w:bCs/>
                <w:color w:val="18B3B9"/>
                <w:lang w:val="en-GB" w:eastAsia="en-GB"/>
              </w:rPr>
            </w:pPr>
            <w:r w:rsidRPr="009113BD">
              <w:rPr>
                <w:rFonts w:eastAsia="Times New Roman" w:cs="Calibri"/>
                <w:b/>
                <w:bCs/>
                <w:color w:val="18B3B9"/>
                <w:lang w:val="en-GB" w:eastAsia="en-GB"/>
              </w:rPr>
              <w:t>+1.4%</w:t>
            </w:r>
          </w:p>
        </w:tc>
        <w:tc>
          <w:tcPr>
            <w:tcW w:w="1066" w:type="dxa"/>
            <w:tcBorders>
              <w:top w:val="single" w:sz="4" w:space="0" w:color="18B3B9"/>
              <w:left w:val="nil"/>
              <w:bottom w:val="single" w:sz="8" w:space="0" w:color="18B3B9"/>
              <w:right w:val="nil"/>
            </w:tcBorders>
            <w:shd w:val="clear" w:color="000000" w:fill="FFFFFF"/>
            <w:noWrap/>
            <w:vAlign w:val="center"/>
            <w:hideMark/>
          </w:tcPr>
          <w:p w14:paraId="365C39F5" w14:textId="77777777" w:rsidR="009113BD" w:rsidRPr="009113BD" w:rsidRDefault="009113BD" w:rsidP="009113BD">
            <w:pPr>
              <w:spacing w:after="0" w:line="240" w:lineRule="auto"/>
              <w:jc w:val="right"/>
              <w:rPr>
                <w:rFonts w:eastAsia="Times New Roman" w:cs="Calibri"/>
                <w:b/>
                <w:bCs/>
                <w:color w:val="18B3B9"/>
                <w:lang w:val="en-GB" w:eastAsia="en-GB"/>
              </w:rPr>
            </w:pPr>
            <w:r w:rsidRPr="009113BD">
              <w:rPr>
                <w:rFonts w:eastAsia="Times New Roman" w:cs="Calibri"/>
                <w:b/>
                <w:bCs/>
                <w:color w:val="18B3B9"/>
                <w:lang w:val="en-GB" w:eastAsia="en-GB"/>
              </w:rPr>
              <w:t>+0.9%</w:t>
            </w:r>
          </w:p>
        </w:tc>
      </w:tr>
    </w:tbl>
    <w:p w14:paraId="1FA82833" w14:textId="77777777" w:rsidR="002D46AD" w:rsidRPr="002D46AD" w:rsidRDefault="002D46AD" w:rsidP="002D46AD">
      <w:pPr>
        <w:widowControl w:val="0"/>
        <w:suppressAutoHyphens/>
        <w:spacing w:after="0" w:line="240" w:lineRule="auto"/>
        <w:rPr>
          <w:rFonts w:ascii="Arial Narrow" w:eastAsia="MS Mincho" w:hAnsi="Arial Narrow" w:cs="Arial"/>
          <w:sz w:val="8"/>
          <w:lang w:val="fr-FR" w:eastAsia="fr-FR"/>
        </w:rPr>
      </w:pPr>
    </w:p>
    <w:p w14:paraId="111AF07E" w14:textId="77777777" w:rsidR="002D46AD" w:rsidRPr="00B444A4" w:rsidRDefault="002D46AD" w:rsidP="002D46AD">
      <w:pPr>
        <w:suppressAutoHyphens/>
        <w:spacing w:after="120"/>
        <w:rPr>
          <w:rFonts w:ascii="Arial Narrow" w:hAnsi="Arial Narrow" w:cs="Arial"/>
          <w:lang w:eastAsia="fr-FR"/>
        </w:rPr>
      </w:pPr>
      <w:r w:rsidRPr="00B444A4">
        <w:rPr>
          <w:rFonts w:ascii="Arial Narrow" w:hAnsi="Arial Narrow" w:cs="Arial"/>
          <w:lang w:eastAsia="fr-FR"/>
        </w:rPr>
        <w:t>In Northern Europe, revenues grew by +1.6% at constant and current FX. The growth in credit insurance compensated for the fall in revenues from factoring. Revenues from credit insurance grew by +3.4%, due to high levels of client retention and a rise in new business, while growth in policyholder activities was almost zero.</w:t>
      </w:r>
    </w:p>
    <w:p w14:paraId="5188BB95" w14:textId="77777777" w:rsidR="002D46AD" w:rsidRPr="00B444A4" w:rsidRDefault="002D46AD" w:rsidP="002D46AD">
      <w:pPr>
        <w:suppressAutoHyphens/>
        <w:spacing w:after="120"/>
        <w:rPr>
          <w:rFonts w:ascii="Arial Narrow" w:hAnsi="Arial Narrow" w:cs="Arial"/>
          <w:lang w:eastAsia="fr-FR"/>
        </w:rPr>
      </w:pPr>
      <w:r w:rsidRPr="00B444A4">
        <w:rPr>
          <w:rFonts w:ascii="Arial Narrow" w:hAnsi="Arial Narrow" w:cs="Arial"/>
          <w:lang w:eastAsia="fr-FR"/>
        </w:rPr>
        <w:t>In Western Europe, turnover was down by -4.0% and by -4</w:t>
      </w:r>
      <w:r>
        <w:rPr>
          <w:rFonts w:ascii="Arial Narrow" w:hAnsi="Arial Narrow" w:cs="Arial"/>
          <w:lang w:eastAsia="fr-FR"/>
        </w:rPr>
        <w:t>.</w:t>
      </w:r>
      <w:r w:rsidRPr="00B444A4">
        <w:rPr>
          <w:rFonts w:ascii="Arial Narrow" w:hAnsi="Arial Narrow" w:cs="Arial"/>
          <w:lang w:eastAsia="fr-FR"/>
        </w:rPr>
        <w:t>5% at constant FX, despite record levels of client retention</w:t>
      </w:r>
      <w:r>
        <w:rPr>
          <w:rFonts w:ascii="Arial Narrow" w:hAnsi="Arial Narrow" w:cs="Arial"/>
          <w:lang w:eastAsia="fr-FR"/>
        </w:rPr>
        <w:t>. This was</w:t>
      </w:r>
      <w:r w:rsidRPr="00B444A4">
        <w:rPr>
          <w:rFonts w:ascii="Arial Narrow" w:hAnsi="Arial Narrow" w:cs="Arial"/>
          <w:lang w:eastAsia="fr-FR"/>
        </w:rPr>
        <w:t xml:space="preserve"> due to a downward adjustment in the expected growth in customer activity, a particularly sensitive phenomenon given the method of invoicing premiums.</w:t>
      </w:r>
    </w:p>
    <w:p w14:paraId="05912A9C" w14:textId="77777777" w:rsidR="002D46AD" w:rsidRPr="00B444A4" w:rsidRDefault="002D46AD" w:rsidP="002D46AD">
      <w:pPr>
        <w:suppressAutoHyphens/>
        <w:spacing w:after="120"/>
        <w:rPr>
          <w:rFonts w:ascii="Arial Narrow" w:hAnsi="Arial Narrow" w:cs="Arial"/>
          <w:lang w:eastAsia="fr-FR"/>
        </w:rPr>
      </w:pPr>
      <w:r w:rsidRPr="00B444A4">
        <w:rPr>
          <w:rFonts w:ascii="Arial Narrow" w:hAnsi="Arial Narrow" w:cs="Arial"/>
          <w:lang w:eastAsia="fr-FR"/>
        </w:rPr>
        <w:lastRenderedPageBreak/>
        <w:t xml:space="preserve">In Central and Eastern Europe, turnover rose by +11.6% and by +2.3% at constant FX and perimeter, mainly due to growth in credit insurance. The increase at current perimeter </w:t>
      </w:r>
      <w:proofErr w:type="gramStart"/>
      <w:r w:rsidRPr="00B444A4">
        <w:rPr>
          <w:rFonts w:ascii="Arial Narrow" w:hAnsi="Arial Narrow" w:cs="Arial"/>
          <w:lang w:eastAsia="fr-FR"/>
        </w:rPr>
        <w:t>is explained</w:t>
      </w:r>
      <w:proofErr w:type="gramEnd"/>
      <w:r w:rsidRPr="00B444A4">
        <w:rPr>
          <w:rFonts w:ascii="Arial Narrow" w:hAnsi="Arial Narrow" w:cs="Arial"/>
          <w:lang w:eastAsia="fr-FR"/>
        </w:rPr>
        <w:t xml:space="preserve"> by </w:t>
      </w:r>
      <w:r>
        <w:rPr>
          <w:rFonts w:ascii="Arial Narrow" w:hAnsi="Arial Narrow" w:cs="Arial"/>
          <w:lang w:eastAsia="fr-FR"/>
        </w:rPr>
        <w:t>the contribution of Coface PKZ,</w:t>
      </w:r>
      <w:r w:rsidRPr="00B444A4">
        <w:rPr>
          <w:rFonts w:ascii="Arial Narrow" w:hAnsi="Arial Narrow" w:cs="Arial"/>
          <w:lang w:eastAsia="fr-FR"/>
        </w:rPr>
        <w:t xml:space="preserve"> the activity that was integrated in Q2-2019. .</w:t>
      </w:r>
    </w:p>
    <w:p w14:paraId="2D1C503B" w14:textId="77777777" w:rsidR="002D46AD" w:rsidRPr="00B444A4" w:rsidRDefault="002D46AD" w:rsidP="002D46AD">
      <w:pPr>
        <w:suppressAutoHyphens/>
        <w:spacing w:after="120"/>
        <w:rPr>
          <w:rFonts w:ascii="Arial Narrow" w:hAnsi="Arial Narrow" w:cs="Arial"/>
          <w:lang w:eastAsia="fr-FR"/>
        </w:rPr>
      </w:pPr>
      <w:r w:rsidRPr="00B444A4">
        <w:rPr>
          <w:rFonts w:ascii="Arial Narrow" w:hAnsi="Arial Narrow" w:cs="Arial"/>
          <w:lang w:eastAsia="fr-FR"/>
        </w:rPr>
        <w:t>In the Mediterranean and Africa, a region driven by Italy and Spain, turnover grew by +5.5% and by +5.7% at constant FX</w:t>
      </w:r>
      <w:r>
        <w:rPr>
          <w:rFonts w:ascii="Arial Narrow" w:hAnsi="Arial Narrow" w:cs="Arial"/>
          <w:lang w:eastAsia="fr-FR"/>
        </w:rPr>
        <w:t>. This was due</w:t>
      </w:r>
      <w:r w:rsidRPr="00B444A4">
        <w:rPr>
          <w:rFonts w:ascii="Arial Narrow" w:hAnsi="Arial Narrow" w:cs="Arial"/>
          <w:lang w:eastAsia="fr-FR"/>
        </w:rPr>
        <w:t xml:space="preserve"> to positive sales momentum and growth in client activities prior to the instigation of confinement measures in countries heavily affected by the disease. </w:t>
      </w:r>
    </w:p>
    <w:p w14:paraId="323EABB2" w14:textId="77777777" w:rsidR="002D46AD" w:rsidRPr="00B444A4" w:rsidRDefault="002D46AD" w:rsidP="002D46AD">
      <w:pPr>
        <w:suppressAutoHyphens/>
        <w:spacing w:after="120"/>
        <w:rPr>
          <w:rFonts w:ascii="Arial Narrow" w:hAnsi="Arial Narrow" w:cs="Arial"/>
          <w:lang w:eastAsia="fr-FR"/>
        </w:rPr>
      </w:pPr>
      <w:r w:rsidRPr="00B444A4">
        <w:rPr>
          <w:rFonts w:ascii="Arial Narrow" w:hAnsi="Arial Narrow" w:cs="Arial"/>
          <w:lang w:eastAsia="fr-FR"/>
        </w:rPr>
        <w:t xml:space="preserve">In North America, revenues increased by +10.2% on a reported basis and by +7.1% at constant FX. This rise </w:t>
      </w:r>
      <w:proofErr w:type="gramStart"/>
      <w:r w:rsidRPr="00B444A4">
        <w:rPr>
          <w:rFonts w:ascii="Arial Narrow" w:hAnsi="Arial Narrow" w:cs="Arial"/>
          <w:lang w:eastAsia="fr-FR"/>
        </w:rPr>
        <w:t>was driven</w:t>
      </w:r>
      <w:proofErr w:type="gramEnd"/>
      <w:r w:rsidRPr="00B444A4">
        <w:rPr>
          <w:rFonts w:ascii="Arial Narrow" w:hAnsi="Arial Narrow" w:cs="Arial"/>
          <w:lang w:eastAsia="fr-FR"/>
        </w:rPr>
        <w:t xml:space="preserve"> by client retention and growth in new business.</w:t>
      </w:r>
    </w:p>
    <w:p w14:paraId="294D9159" w14:textId="77777777" w:rsidR="002D46AD" w:rsidRPr="00B444A4" w:rsidRDefault="002D46AD" w:rsidP="002D46AD">
      <w:pPr>
        <w:suppressAutoHyphens/>
        <w:spacing w:after="120"/>
        <w:rPr>
          <w:rFonts w:ascii="Arial Narrow" w:hAnsi="Arial Narrow" w:cs="Arial"/>
          <w:bCs/>
          <w:lang w:eastAsia="ar-SA"/>
        </w:rPr>
      </w:pPr>
      <w:r w:rsidRPr="00B444A4">
        <w:rPr>
          <w:rFonts w:ascii="Arial Narrow" w:hAnsi="Arial Narrow" w:cs="Arial"/>
          <w:bCs/>
          <w:lang w:eastAsia="ar-SA"/>
        </w:rPr>
        <w:t>In Latin America, turnover fell by -19.5% at current and by -5.4% at constant FX. This decline is within an environment of a cautious approach to risk (due to monetary and social turbulence) following several quarters in a challenging economic context.</w:t>
      </w:r>
    </w:p>
    <w:p w14:paraId="1FCDDA53" w14:textId="032544B1" w:rsidR="007E68C1" w:rsidRPr="00B30555" w:rsidRDefault="002D46AD" w:rsidP="002D46AD">
      <w:pPr>
        <w:widowControl w:val="0"/>
        <w:suppressAutoHyphens/>
        <w:spacing w:after="120"/>
        <w:rPr>
          <w:rFonts w:ascii="Arial Narrow" w:eastAsia="MS Mincho" w:hAnsi="Arial Narrow" w:cs="Arial"/>
          <w:lang w:val="en-GB" w:eastAsia="fr-FR"/>
        </w:rPr>
      </w:pPr>
      <w:r w:rsidRPr="00B444A4">
        <w:rPr>
          <w:rFonts w:ascii="Arial Narrow" w:hAnsi="Arial Narrow" w:cs="Arial"/>
          <w:bCs/>
          <w:lang w:eastAsia="ar-SA"/>
        </w:rPr>
        <w:t>Turnover in the Asia-Pacific</w:t>
      </w:r>
      <w:r w:rsidR="00FD5CEB">
        <w:rPr>
          <w:rFonts w:ascii="Arial Narrow" w:hAnsi="Arial Narrow" w:cs="Arial"/>
          <w:bCs/>
          <w:lang w:eastAsia="ar-SA"/>
        </w:rPr>
        <w:t xml:space="preserve"> region</w:t>
      </w:r>
      <w:r w:rsidRPr="00B444A4">
        <w:rPr>
          <w:rFonts w:ascii="Arial Narrow" w:hAnsi="Arial Narrow" w:cs="Arial"/>
          <w:bCs/>
          <w:lang w:eastAsia="ar-SA"/>
        </w:rPr>
        <w:t xml:space="preserve"> was down by -6.1% at current and by -8.3% at constant FX. The region has felt the early effects of measures taken to combat the propagation of the pandemic (</w:t>
      </w:r>
      <w:r w:rsidR="00FD5CEB">
        <w:rPr>
          <w:rFonts w:ascii="Arial Narrow" w:hAnsi="Arial Narrow" w:cs="Arial"/>
          <w:bCs/>
          <w:lang w:eastAsia="ar-SA"/>
        </w:rPr>
        <w:t xml:space="preserve">e.g. </w:t>
      </w:r>
      <w:r w:rsidRPr="00B444A4">
        <w:rPr>
          <w:rFonts w:ascii="Arial Narrow" w:hAnsi="Arial Narrow" w:cs="Arial"/>
          <w:bCs/>
          <w:lang w:eastAsia="ar-SA"/>
        </w:rPr>
        <w:t>China, Hong</w:t>
      </w:r>
      <w:r w:rsidR="00FD5CEB">
        <w:rPr>
          <w:rFonts w:ascii="Arial Narrow" w:hAnsi="Arial Narrow" w:cs="Arial"/>
          <w:bCs/>
          <w:lang w:eastAsia="ar-SA"/>
        </w:rPr>
        <w:t xml:space="preserve"> </w:t>
      </w:r>
      <w:r w:rsidRPr="00B444A4">
        <w:rPr>
          <w:rFonts w:ascii="Arial Narrow" w:hAnsi="Arial Narrow" w:cs="Arial"/>
          <w:bCs/>
          <w:lang w:eastAsia="ar-SA"/>
        </w:rPr>
        <w:t>Kong).</w:t>
      </w:r>
    </w:p>
    <w:p w14:paraId="373D7792" w14:textId="77777777" w:rsidR="001E1169" w:rsidRPr="00B30555" w:rsidRDefault="001E1169" w:rsidP="009B70A5">
      <w:pPr>
        <w:autoSpaceDE w:val="0"/>
        <w:autoSpaceDN w:val="0"/>
        <w:adjustRightInd w:val="0"/>
        <w:spacing w:after="0"/>
        <w:ind w:left="720"/>
        <w:rPr>
          <w:rFonts w:ascii="Arial Narrow" w:eastAsia="Calibri" w:hAnsi="Arial Narrow" w:cs="Arial"/>
          <w:b/>
          <w:bCs/>
          <w:highlight w:val="yellow"/>
          <w:lang w:val="en-GB" w:eastAsia="en-US"/>
        </w:rPr>
      </w:pPr>
    </w:p>
    <w:p w14:paraId="4C20F893" w14:textId="77777777" w:rsidR="00FC3FB7" w:rsidRPr="00B30555" w:rsidRDefault="00FC3FB7" w:rsidP="009B70A5">
      <w:pPr>
        <w:numPr>
          <w:ilvl w:val="0"/>
          <w:numId w:val="16"/>
        </w:numPr>
        <w:autoSpaceDE w:val="0"/>
        <w:autoSpaceDN w:val="0"/>
        <w:adjustRightInd w:val="0"/>
        <w:spacing w:after="0"/>
        <w:rPr>
          <w:rFonts w:ascii="Arial Narrow" w:eastAsia="Calibri" w:hAnsi="Arial Narrow" w:cs="Arial"/>
          <w:b/>
          <w:bCs/>
          <w:lang w:val="en-GB" w:eastAsia="en-US"/>
        </w:rPr>
      </w:pPr>
      <w:r w:rsidRPr="00B30555">
        <w:rPr>
          <w:rFonts w:ascii="Arial Narrow" w:eastAsia="Calibri" w:hAnsi="Arial Narrow" w:cs="Arial"/>
          <w:b/>
          <w:bCs/>
          <w:lang w:val="en-GB" w:eastAsia="en-US"/>
        </w:rPr>
        <w:t>R</w:t>
      </w:r>
      <w:r w:rsidR="00152131" w:rsidRPr="00B30555">
        <w:rPr>
          <w:rFonts w:ascii="Arial Narrow" w:eastAsia="Calibri" w:hAnsi="Arial Narrow" w:cs="Arial"/>
          <w:b/>
          <w:bCs/>
          <w:lang w:val="en-GB" w:eastAsia="en-US"/>
        </w:rPr>
        <w:t>esults</w:t>
      </w:r>
    </w:p>
    <w:p w14:paraId="27ED05C2" w14:textId="77777777" w:rsidR="009B70A5" w:rsidRPr="00B30555" w:rsidRDefault="009B70A5" w:rsidP="009B70A5">
      <w:pPr>
        <w:autoSpaceDE w:val="0"/>
        <w:autoSpaceDN w:val="0"/>
        <w:adjustRightInd w:val="0"/>
        <w:spacing w:after="0" w:line="240" w:lineRule="auto"/>
        <w:rPr>
          <w:rFonts w:ascii="Arial Narrow" w:eastAsia="Calibri" w:hAnsi="Arial Narrow" w:cs="Arial"/>
          <w:i/>
          <w:lang w:val="en-GB" w:eastAsia="en-US"/>
        </w:rPr>
      </w:pPr>
    </w:p>
    <w:p w14:paraId="4B029B99" w14:textId="77777777" w:rsidR="00FC3FB7" w:rsidRPr="00B30555" w:rsidRDefault="00152131" w:rsidP="00620871">
      <w:pPr>
        <w:numPr>
          <w:ilvl w:val="0"/>
          <w:numId w:val="17"/>
        </w:numPr>
        <w:autoSpaceDE w:val="0"/>
        <w:autoSpaceDN w:val="0"/>
        <w:adjustRightInd w:val="0"/>
        <w:spacing w:after="0"/>
        <w:rPr>
          <w:rFonts w:ascii="Arial Narrow" w:eastAsia="Calibri" w:hAnsi="Arial Narrow" w:cs="Arial"/>
          <w:u w:val="single"/>
          <w:lang w:val="en-GB" w:eastAsia="en-US"/>
        </w:rPr>
      </w:pPr>
      <w:r w:rsidRPr="00B30555">
        <w:rPr>
          <w:rFonts w:ascii="Arial Narrow" w:eastAsia="Calibri" w:hAnsi="Arial Narrow" w:cs="Arial"/>
          <w:u w:val="single"/>
          <w:lang w:val="en-GB" w:eastAsia="en-US"/>
        </w:rPr>
        <w:t>Combined ratio</w:t>
      </w:r>
    </w:p>
    <w:p w14:paraId="3E18184B" w14:textId="77777777" w:rsidR="00620871" w:rsidRPr="00B30555" w:rsidRDefault="00620871" w:rsidP="00620871">
      <w:pPr>
        <w:autoSpaceDE w:val="0"/>
        <w:autoSpaceDN w:val="0"/>
        <w:adjustRightInd w:val="0"/>
        <w:spacing w:after="0" w:line="240" w:lineRule="auto"/>
        <w:rPr>
          <w:rFonts w:ascii="Arial Narrow" w:eastAsia="Calibri" w:hAnsi="Arial Narrow" w:cs="Arial"/>
          <w:i/>
          <w:lang w:val="en-GB" w:eastAsia="en-US"/>
        </w:rPr>
      </w:pPr>
    </w:p>
    <w:p w14:paraId="3D68DBAC" w14:textId="4983649D" w:rsidR="00D13B60" w:rsidRPr="00B30555" w:rsidRDefault="00DD39A5" w:rsidP="00620871">
      <w:pPr>
        <w:widowControl w:val="0"/>
        <w:suppressAutoHyphens/>
        <w:spacing w:after="120"/>
        <w:rPr>
          <w:rFonts w:ascii="Arial Narrow" w:eastAsia="MS Mincho" w:hAnsi="Arial Narrow" w:cs="Arial"/>
          <w:lang w:val="en-GB" w:eastAsia="fr-FR"/>
        </w:rPr>
      </w:pPr>
      <w:r w:rsidRPr="00B444A4">
        <w:rPr>
          <w:rFonts w:ascii="Arial Narrow" w:hAnsi="Arial Narrow" w:cs="Arial"/>
          <w:lang w:eastAsia="fr-FR"/>
        </w:rPr>
        <w:t>The combined ratio, net of reinsurance, stood at 86.</w:t>
      </w:r>
      <w:r>
        <w:rPr>
          <w:rFonts w:ascii="Arial Narrow" w:hAnsi="Arial Narrow" w:cs="Arial"/>
          <w:lang w:eastAsia="fr-FR"/>
        </w:rPr>
        <w:t>8</w:t>
      </w:r>
      <w:r w:rsidRPr="00B444A4">
        <w:rPr>
          <w:rFonts w:ascii="Arial Narrow" w:hAnsi="Arial Narrow" w:cs="Arial"/>
          <w:lang w:eastAsia="fr-FR"/>
        </w:rPr>
        <w:t>% for Q1-2020 (a rise of 12.</w:t>
      </w:r>
      <w:r w:rsidR="006F2A39">
        <w:rPr>
          <w:rFonts w:ascii="Arial Narrow" w:hAnsi="Arial Narrow" w:cs="Arial"/>
          <w:lang w:eastAsia="fr-FR"/>
        </w:rPr>
        <w:t>3</w:t>
      </w:r>
      <w:r w:rsidR="00E975E0">
        <w:rPr>
          <w:rFonts w:ascii="Arial Narrow" w:hAnsi="Arial Narrow" w:cs="Arial"/>
          <w:lang w:eastAsia="fr-FR"/>
        </w:rPr>
        <w:t xml:space="preserve"> </w:t>
      </w:r>
      <w:r w:rsidR="00FD5CEB">
        <w:rPr>
          <w:rFonts w:ascii="Arial Narrow" w:hAnsi="Arial Narrow" w:cs="Arial"/>
          <w:lang w:eastAsia="fr-FR"/>
        </w:rPr>
        <w:t>pp</w:t>
      </w:r>
      <w:r w:rsidR="00E975E0">
        <w:rPr>
          <w:rFonts w:ascii="Arial Narrow" w:hAnsi="Arial Narrow" w:cs="Arial"/>
          <w:lang w:eastAsia="fr-FR"/>
        </w:rPr>
        <w:t>ts.</w:t>
      </w:r>
      <w:r w:rsidRPr="00B444A4">
        <w:rPr>
          <w:rFonts w:ascii="Arial Narrow" w:hAnsi="Arial Narrow" w:cs="Arial"/>
          <w:lang w:eastAsia="fr-FR"/>
        </w:rPr>
        <w:t xml:space="preserve"> over one year and 6.</w:t>
      </w:r>
      <w:r w:rsidR="006F2A39">
        <w:rPr>
          <w:rFonts w:ascii="Arial Narrow" w:hAnsi="Arial Narrow" w:cs="Arial"/>
          <w:lang w:eastAsia="fr-FR"/>
        </w:rPr>
        <w:t>5</w:t>
      </w:r>
      <w:r w:rsidR="00E975E0">
        <w:rPr>
          <w:rFonts w:ascii="Arial Narrow" w:hAnsi="Arial Narrow" w:cs="Arial"/>
          <w:lang w:eastAsia="fr-FR"/>
        </w:rPr>
        <w:t xml:space="preserve"> </w:t>
      </w:r>
      <w:r w:rsidR="00FD5CEB">
        <w:rPr>
          <w:rFonts w:ascii="Arial Narrow" w:hAnsi="Arial Narrow" w:cs="Arial"/>
          <w:lang w:eastAsia="fr-FR"/>
        </w:rPr>
        <w:t>pp</w:t>
      </w:r>
      <w:r w:rsidR="00E975E0">
        <w:rPr>
          <w:rFonts w:ascii="Arial Narrow" w:hAnsi="Arial Narrow" w:cs="Arial"/>
          <w:lang w:eastAsia="fr-FR"/>
        </w:rPr>
        <w:t>ts.</w:t>
      </w:r>
      <w:r w:rsidRPr="00B444A4">
        <w:rPr>
          <w:rFonts w:ascii="Arial Narrow" w:hAnsi="Arial Narrow" w:cs="Arial"/>
          <w:lang w:eastAsia="fr-FR"/>
        </w:rPr>
        <w:t xml:space="preserve"> compared to the previous quarter).</w:t>
      </w:r>
    </w:p>
    <w:p w14:paraId="7AC03AEF" w14:textId="77777777" w:rsidR="00FC3FB7" w:rsidRPr="00B30555" w:rsidRDefault="00F43852" w:rsidP="00EC73D9">
      <w:pPr>
        <w:pStyle w:val="Paragraphedeliste"/>
        <w:numPr>
          <w:ilvl w:val="0"/>
          <w:numId w:val="27"/>
        </w:numPr>
        <w:autoSpaceDE w:val="0"/>
        <w:autoSpaceDN w:val="0"/>
        <w:adjustRightInd w:val="0"/>
        <w:spacing w:after="120"/>
        <w:ind w:left="993" w:hanging="284"/>
        <w:rPr>
          <w:rFonts w:ascii="Arial Narrow" w:eastAsia="Calibri" w:hAnsi="Arial Narrow" w:cs="Arial"/>
          <w:lang w:val="en-GB" w:eastAsia="en-US"/>
        </w:rPr>
      </w:pPr>
      <w:r w:rsidRPr="00B30555">
        <w:rPr>
          <w:rFonts w:ascii="Arial Narrow" w:eastAsia="Calibri" w:hAnsi="Arial Narrow" w:cs="Arial"/>
          <w:lang w:val="en-GB" w:eastAsia="en-US"/>
        </w:rPr>
        <w:t>Loss ratio</w:t>
      </w:r>
    </w:p>
    <w:p w14:paraId="3BA1E0C7" w14:textId="53EFFFA6" w:rsidR="00F45F5F" w:rsidRPr="00F45F5F" w:rsidRDefault="00F45F5F" w:rsidP="00F45F5F">
      <w:pPr>
        <w:widowControl w:val="0"/>
        <w:suppressAutoHyphens/>
        <w:spacing w:after="120"/>
        <w:rPr>
          <w:rFonts w:ascii="Arial Narrow" w:eastAsia="MS Mincho" w:hAnsi="Arial Narrow" w:cs="Arial"/>
          <w:lang w:val="en-GB" w:eastAsia="fr-FR"/>
        </w:rPr>
      </w:pPr>
      <w:r w:rsidRPr="00F45F5F">
        <w:rPr>
          <w:rFonts w:ascii="Arial Narrow" w:eastAsia="MS Mincho" w:hAnsi="Arial Narrow" w:cs="Arial"/>
          <w:lang w:val="en-GB" w:eastAsia="fr-FR"/>
        </w:rPr>
        <w:t>The gross reinsurance ratio stood at 55.</w:t>
      </w:r>
      <w:r w:rsidR="0072348D">
        <w:rPr>
          <w:rFonts w:ascii="Arial Narrow" w:eastAsia="MS Mincho" w:hAnsi="Arial Narrow" w:cs="Arial"/>
          <w:lang w:val="en-GB" w:eastAsia="fr-FR"/>
        </w:rPr>
        <w:t>2%, a rise of 15.</w:t>
      </w:r>
      <w:r w:rsidR="00A91954">
        <w:rPr>
          <w:rFonts w:ascii="Arial Narrow" w:eastAsia="MS Mincho" w:hAnsi="Arial Narrow" w:cs="Arial"/>
          <w:lang w:val="en-GB" w:eastAsia="fr-FR"/>
        </w:rPr>
        <w:t>3</w:t>
      </w:r>
      <w:r w:rsidR="00E975E0">
        <w:rPr>
          <w:rFonts w:ascii="Arial Narrow" w:eastAsia="MS Mincho" w:hAnsi="Arial Narrow" w:cs="Arial"/>
          <w:lang w:val="en-GB" w:eastAsia="fr-FR"/>
        </w:rPr>
        <w:t xml:space="preserve"> </w:t>
      </w:r>
      <w:r w:rsidR="00FD5CEB">
        <w:rPr>
          <w:rFonts w:ascii="Arial Narrow" w:eastAsia="MS Mincho" w:hAnsi="Arial Narrow" w:cs="Arial"/>
          <w:lang w:val="en-GB" w:eastAsia="fr-FR"/>
        </w:rPr>
        <w:t>pp</w:t>
      </w:r>
      <w:r w:rsidR="00E975E0">
        <w:rPr>
          <w:rFonts w:ascii="Arial Narrow" w:eastAsia="MS Mincho" w:hAnsi="Arial Narrow" w:cs="Arial"/>
          <w:lang w:val="en-GB" w:eastAsia="fr-FR"/>
        </w:rPr>
        <w:t>ts.</w:t>
      </w:r>
      <w:r w:rsidRPr="00F45F5F">
        <w:rPr>
          <w:rFonts w:ascii="Arial Narrow" w:eastAsia="MS Mincho" w:hAnsi="Arial Narrow" w:cs="Arial"/>
          <w:lang w:val="en-GB" w:eastAsia="fr-FR"/>
        </w:rPr>
        <w:t xml:space="preserve"> </w:t>
      </w:r>
      <w:proofErr w:type="gramStart"/>
      <w:r w:rsidRPr="00F45F5F">
        <w:rPr>
          <w:rFonts w:ascii="Arial Narrow" w:eastAsia="MS Mincho" w:hAnsi="Arial Narrow" w:cs="Arial"/>
          <w:lang w:val="en-GB" w:eastAsia="fr-FR"/>
        </w:rPr>
        <w:t>compared</w:t>
      </w:r>
      <w:proofErr w:type="gramEnd"/>
      <w:r w:rsidRPr="00F45F5F">
        <w:rPr>
          <w:rFonts w:ascii="Arial Narrow" w:eastAsia="MS Mincho" w:hAnsi="Arial Narrow" w:cs="Arial"/>
          <w:lang w:val="en-GB" w:eastAsia="fr-FR"/>
        </w:rPr>
        <w:t xml:space="preserve"> to the record levels achieved one year ago. A large portion of this rise (approximately 9</w:t>
      </w:r>
      <w:r w:rsidR="00E975E0">
        <w:rPr>
          <w:rFonts w:ascii="Arial Narrow" w:eastAsia="MS Mincho" w:hAnsi="Arial Narrow" w:cs="Arial"/>
          <w:lang w:val="en-GB" w:eastAsia="fr-FR"/>
        </w:rPr>
        <w:t xml:space="preserve"> </w:t>
      </w:r>
      <w:r w:rsidR="00FD5CEB">
        <w:rPr>
          <w:rFonts w:ascii="Arial Narrow" w:eastAsia="MS Mincho" w:hAnsi="Arial Narrow" w:cs="Arial"/>
          <w:lang w:val="en-GB" w:eastAsia="fr-FR"/>
        </w:rPr>
        <w:t>pp</w:t>
      </w:r>
      <w:r w:rsidR="00E975E0">
        <w:rPr>
          <w:rFonts w:ascii="Arial Narrow" w:eastAsia="MS Mincho" w:hAnsi="Arial Narrow" w:cs="Arial"/>
          <w:lang w:val="en-GB" w:eastAsia="fr-FR"/>
        </w:rPr>
        <w:t>ts.</w:t>
      </w:r>
      <w:r w:rsidRPr="00F45F5F">
        <w:rPr>
          <w:rFonts w:ascii="Arial Narrow" w:eastAsia="MS Mincho" w:hAnsi="Arial Narrow" w:cs="Arial"/>
          <w:lang w:val="en-GB" w:eastAsia="fr-FR"/>
        </w:rPr>
        <w:t>) is due to a major claim in Europe, which is unrelated to the current crisis. Coface has not experienced such a large claim for several quarters, but claim frequency remained relatively stable over the quarter.</w:t>
      </w:r>
    </w:p>
    <w:p w14:paraId="4C39192B" w14:textId="0E4C0A14" w:rsidR="00F45F5F" w:rsidRPr="00F45F5F" w:rsidRDefault="00F45F5F" w:rsidP="00F45F5F">
      <w:pPr>
        <w:widowControl w:val="0"/>
        <w:suppressAutoHyphens/>
        <w:spacing w:after="120"/>
        <w:rPr>
          <w:rFonts w:ascii="Arial Narrow" w:eastAsia="MS Mincho" w:hAnsi="Arial Narrow" w:cs="Arial"/>
          <w:lang w:val="en-GB" w:eastAsia="fr-FR"/>
        </w:rPr>
      </w:pPr>
      <w:r w:rsidRPr="00F45F5F">
        <w:rPr>
          <w:rFonts w:ascii="Arial Narrow" w:eastAsia="MS Mincho" w:hAnsi="Arial Narrow" w:cs="Arial"/>
          <w:lang w:val="en-GB" w:eastAsia="fr-FR"/>
        </w:rPr>
        <w:t>The Group’s reserving policy remains unchanged. Strict management of past claims has enabled the Group to record 24.</w:t>
      </w:r>
      <w:r w:rsidR="00D767AE">
        <w:rPr>
          <w:rFonts w:ascii="Arial Narrow" w:eastAsia="MS Mincho" w:hAnsi="Arial Narrow" w:cs="Arial"/>
          <w:lang w:val="en-GB" w:eastAsia="fr-FR"/>
        </w:rPr>
        <w:t xml:space="preserve">4 </w:t>
      </w:r>
      <w:r w:rsidR="00FD5CEB">
        <w:rPr>
          <w:rFonts w:ascii="Arial Narrow" w:eastAsia="MS Mincho" w:hAnsi="Arial Narrow" w:cs="Arial"/>
          <w:lang w:val="en-GB" w:eastAsia="fr-FR"/>
        </w:rPr>
        <w:t>pp</w:t>
      </w:r>
      <w:r w:rsidR="00E975E0">
        <w:rPr>
          <w:rFonts w:ascii="Arial Narrow" w:eastAsia="MS Mincho" w:hAnsi="Arial Narrow" w:cs="Arial"/>
          <w:lang w:val="en-GB" w:eastAsia="fr-FR"/>
        </w:rPr>
        <w:t>ts.</w:t>
      </w:r>
      <w:r w:rsidRPr="00F45F5F">
        <w:rPr>
          <w:rFonts w:ascii="Arial Narrow" w:eastAsia="MS Mincho" w:hAnsi="Arial Narrow" w:cs="Arial"/>
          <w:lang w:val="en-GB" w:eastAsia="fr-FR"/>
        </w:rPr>
        <w:t xml:space="preserve"> </w:t>
      </w:r>
      <w:proofErr w:type="gramStart"/>
      <w:r w:rsidRPr="00F45F5F">
        <w:rPr>
          <w:rFonts w:ascii="Arial Narrow" w:eastAsia="MS Mincho" w:hAnsi="Arial Narrow" w:cs="Arial"/>
          <w:lang w:val="en-GB" w:eastAsia="fr-FR"/>
        </w:rPr>
        <w:t>of</w:t>
      </w:r>
      <w:proofErr w:type="gramEnd"/>
      <w:r w:rsidRPr="00F45F5F">
        <w:rPr>
          <w:rFonts w:ascii="Arial Narrow" w:eastAsia="MS Mincho" w:hAnsi="Arial Narrow" w:cs="Arial"/>
          <w:lang w:val="en-GB" w:eastAsia="fr-FR"/>
        </w:rPr>
        <w:t xml:space="preserve"> recoveries, in line with the historical average. The loss ratio for the 2020 subscription year was 76.9% - a particularly high level that reflects the expectations of an increase in the number of corporate bankruptcies over the coming months. </w:t>
      </w:r>
    </w:p>
    <w:p w14:paraId="45876F85" w14:textId="138A101F" w:rsidR="00A620FD" w:rsidRPr="00B30555" w:rsidRDefault="00F45F5F" w:rsidP="00620871">
      <w:pPr>
        <w:widowControl w:val="0"/>
        <w:suppressAutoHyphens/>
        <w:spacing w:after="120"/>
        <w:rPr>
          <w:rFonts w:ascii="Arial Narrow" w:eastAsia="MS Mincho" w:hAnsi="Arial Narrow" w:cs="Arial"/>
          <w:lang w:val="en-GB" w:eastAsia="fr-FR"/>
        </w:rPr>
      </w:pPr>
      <w:r w:rsidRPr="00F45F5F">
        <w:rPr>
          <w:rFonts w:ascii="Arial Narrow" w:eastAsia="MS Mincho" w:hAnsi="Arial Narrow" w:cs="Arial"/>
          <w:lang w:val="en-GB" w:eastAsia="fr-FR"/>
        </w:rPr>
        <w:t>The loss ratio net of reinsurance rose at 57.1%, up by 14.5</w:t>
      </w:r>
      <w:r w:rsidR="00E975E0">
        <w:rPr>
          <w:rFonts w:ascii="Arial Narrow" w:eastAsia="MS Mincho" w:hAnsi="Arial Narrow" w:cs="Arial"/>
          <w:lang w:val="en-GB" w:eastAsia="fr-FR"/>
        </w:rPr>
        <w:t xml:space="preserve"> </w:t>
      </w:r>
      <w:r w:rsidR="00FD5CEB">
        <w:rPr>
          <w:rFonts w:ascii="Arial Narrow" w:eastAsia="MS Mincho" w:hAnsi="Arial Narrow" w:cs="Arial"/>
          <w:lang w:val="en-GB" w:eastAsia="fr-FR"/>
        </w:rPr>
        <w:t>pp</w:t>
      </w:r>
      <w:r w:rsidR="00E975E0">
        <w:rPr>
          <w:rFonts w:ascii="Arial Narrow" w:eastAsia="MS Mincho" w:hAnsi="Arial Narrow" w:cs="Arial"/>
          <w:lang w:val="en-GB" w:eastAsia="fr-FR"/>
        </w:rPr>
        <w:t>ts.</w:t>
      </w:r>
      <w:r w:rsidRPr="00F45F5F">
        <w:rPr>
          <w:rFonts w:ascii="Arial Narrow" w:eastAsia="MS Mincho" w:hAnsi="Arial Narrow" w:cs="Arial"/>
          <w:lang w:val="en-GB" w:eastAsia="fr-FR"/>
        </w:rPr>
        <w:t xml:space="preserve"> </w:t>
      </w:r>
      <w:proofErr w:type="gramStart"/>
      <w:r w:rsidRPr="00F45F5F">
        <w:rPr>
          <w:rFonts w:ascii="Arial Narrow" w:eastAsia="MS Mincho" w:hAnsi="Arial Narrow" w:cs="Arial"/>
          <w:lang w:val="en-GB" w:eastAsia="fr-FR"/>
        </w:rPr>
        <w:t>compared</w:t>
      </w:r>
      <w:proofErr w:type="gramEnd"/>
      <w:r w:rsidRPr="00F45F5F">
        <w:rPr>
          <w:rFonts w:ascii="Arial Narrow" w:eastAsia="MS Mincho" w:hAnsi="Arial Narrow" w:cs="Arial"/>
          <w:lang w:val="en-GB" w:eastAsia="fr-FR"/>
        </w:rPr>
        <w:t xml:space="preserve"> to Q1-2019.</w:t>
      </w:r>
    </w:p>
    <w:p w14:paraId="77CE268B" w14:textId="77777777" w:rsidR="00DB24B4" w:rsidRPr="00B30555" w:rsidRDefault="00F43852" w:rsidP="00EC73D9">
      <w:pPr>
        <w:pStyle w:val="Paragraphedeliste"/>
        <w:numPr>
          <w:ilvl w:val="0"/>
          <w:numId w:val="27"/>
        </w:numPr>
        <w:autoSpaceDE w:val="0"/>
        <w:autoSpaceDN w:val="0"/>
        <w:adjustRightInd w:val="0"/>
        <w:spacing w:after="120"/>
        <w:ind w:left="993" w:hanging="284"/>
        <w:rPr>
          <w:rFonts w:ascii="Arial Narrow" w:eastAsia="Calibri" w:hAnsi="Arial Narrow" w:cs="Arial"/>
          <w:lang w:val="en-GB" w:eastAsia="en-US"/>
        </w:rPr>
      </w:pPr>
      <w:r w:rsidRPr="00B30555">
        <w:rPr>
          <w:rFonts w:ascii="Arial Narrow" w:eastAsia="Calibri" w:hAnsi="Arial Narrow" w:cs="Arial"/>
          <w:lang w:val="en-GB" w:eastAsia="en-US"/>
        </w:rPr>
        <w:t>Cost ratio</w:t>
      </w:r>
    </w:p>
    <w:p w14:paraId="3AA98B8C" w14:textId="0D063B5E" w:rsidR="00010911" w:rsidRPr="00B30555" w:rsidRDefault="00F45F5F" w:rsidP="00620871">
      <w:pPr>
        <w:widowControl w:val="0"/>
        <w:suppressAutoHyphens/>
        <w:spacing w:after="120"/>
        <w:rPr>
          <w:rFonts w:ascii="Arial Narrow" w:eastAsia="MS Mincho" w:hAnsi="Arial Narrow" w:cs="Arial"/>
          <w:lang w:val="en-GB" w:eastAsia="fr-FR"/>
        </w:rPr>
      </w:pPr>
      <w:r w:rsidRPr="00B444A4">
        <w:rPr>
          <w:rFonts w:ascii="Arial Narrow" w:hAnsi="Arial Narrow" w:cs="Arial"/>
          <w:lang w:eastAsia="fr-FR"/>
        </w:rPr>
        <w:t>Coface is continuing its policy of strict cost controls. Costs during the first quarter rose by 0.2</w:t>
      </w:r>
      <w:r w:rsidR="00E975E0">
        <w:rPr>
          <w:rFonts w:ascii="Arial Narrow" w:hAnsi="Arial Narrow" w:cs="Arial"/>
          <w:lang w:eastAsia="fr-FR"/>
        </w:rPr>
        <w:t xml:space="preserve"> </w:t>
      </w:r>
      <w:r w:rsidR="00FD5CEB">
        <w:rPr>
          <w:rFonts w:ascii="Arial Narrow" w:hAnsi="Arial Narrow" w:cs="Arial"/>
          <w:lang w:eastAsia="fr-FR"/>
        </w:rPr>
        <w:t>pp</w:t>
      </w:r>
      <w:r w:rsidR="00E975E0">
        <w:rPr>
          <w:rFonts w:ascii="Arial Narrow" w:hAnsi="Arial Narrow" w:cs="Arial"/>
          <w:lang w:eastAsia="fr-FR"/>
        </w:rPr>
        <w:t>ts.</w:t>
      </w:r>
      <w:r w:rsidRPr="00B444A4">
        <w:rPr>
          <w:rFonts w:ascii="Arial Narrow" w:hAnsi="Arial Narrow" w:cs="Arial"/>
          <w:lang w:eastAsia="fr-FR"/>
        </w:rPr>
        <w:t xml:space="preserve"> (</w:t>
      </w:r>
      <w:proofErr w:type="gramStart"/>
      <w:r w:rsidRPr="00B444A4">
        <w:rPr>
          <w:rFonts w:ascii="Arial Narrow" w:hAnsi="Arial Narrow" w:cs="Arial"/>
          <w:lang w:eastAsia="fr-FR"/>
        </w:rPr>
        <w:t>and</w:t>
      </w:r>
      <w:proofErr w:type="gramEnd"/>
      <w:r w:rsidRPr="00B444A4">
        <w:rPr>
          <w:rFonts w:ascii="Arial Narrow" w:hAnsi="Arial Narrow" w:cs="Arial"/>
          <w:lang w:eastAsia="fr-FR"/>
        </w:rPr>
        <w:t xml:space="preserve"> by -0.3% at constant FX and perimeter). The net cost ratio was down by 2.2</w:t>
      </w:r>
      <w:r w:rsidR="00E975E0">
        <w:rPr>
          <w:rFonts w:ascii="Arial Narrow" w:hAnsi="Arial Narrow" w:cs="Arial"/>
          <w:lang w:eastAsia="fr-FR"/>
        </w:rPr>
        <w:t xml:space="preserve"> </w:t>
      </w:r>
      <w:r w:rsidR="00FD5CEB">
        <w:rPr>
          <w:rFonts w:ascii="Arial Narrow" w:hAnsi="Arial Narrow" w:cs="Arial"/>
          <w:lang w:eastAsia="fr-FR"/>
        </w:rPr>
        <w:t>pp</w:t>
      </w:r>
      <w:r w:rsidR="00E975E0">
        <w:rPr>
          <w:rFonts w:ascii="Arial Narrow" w:hAnsi="Arial Narrow" w:cs="Arial"/>
          <w:lang w:eastAsia="fr-FR"/>
        </w:rPr>
        <w:t>ts.</w:t>
      </w:r>
      <w:r w:rsidRPr="00B444A4">
        <w:rPr>
          <w:rFonts w:ascii="Arial Narrow" w:hAnsi="Arial Narrow" w:cs="Arial"/>
          <w:lang w:eastAsia="fr-FR"/>
        </w:rPr>
        <w:t xml:space="preserve"> </w:t>
      </w:r>
      <w:proofErr w:type="gramStart"/>
      <w:r w:rsidRPr="00B444A4">
        <w:rPr>
          <w:rFonts w:ascii="Arial Narrow" w:hAnsi="Arial Narrow" w:cs="Arial"/>
          <w:lang w:eastAsia="fr-FR"/>
        </w:rPr>
        <w:t>to</w:t>
      </w:r>
      <w:proofErr w:type="gramEnd"/>
      <w:r w:rsidRPr="00B444A4">
        <w:rPr>
          <w:rFonts w:ascii="Arial Narrow" w:hAnsi="Arial Narrow" w:cs="Arial"/>
          <w:lang w:eastAsia="fr-FR"/>
        </w:rPr>
        <w:t xml:space="preserve"> stand at 29.7%.</w:t>
      </w:r>
    </w:p>
    <w:p w14:paraId="155B46D0" w14:textId="77777777" w:rsidR="00494440" w:rsidRPr="00B30555" w:rsidRDefault="00494440" w:rsidP="00494440">
      <w:pPr>
        <w:rPr>
          <w:rFonts w:ascii="Arial Narrow" w:eastAsia="Calibri" w:hAnsi="Arial Narrow" w:cs="Arial"/>
          <w:highlight w:val="yellow"/>
          <w:lang w:val="en-GB" w:eastAsia="en-US"/>
        </w:rPr>
      </w:pPr>
      <w:r w:rsidRPr="00B30555">
        <w:rPr>
          <w:rFonts w:ascii="Arial Narrow" w:hAnsi="Arial Narrow" w:cs="Arial"/>
          <w:highlight w:val="yellow"/>
          <w:lang w:val="en-GB" w:eastAsia="en-US"/>
        </w:rPr>
        <w:br w:type="page"/>
      </w:r>
    </w:p>
    <w:p w14:paraId="69B861F1" w14:textId="77777777" w:rsidR="00793C96" w:rsidRPr="00B30555" w:rsidRDefault="009452D8" w:rsidP="00620871">
      <w:pPr>
        <w:numPr>
          <w:ilvl w:val="0"/>
          <w:numId w:val="17"/>
        </w:numPr>
        <w:autoSpaceDE w:val="0"/>
        <w:autoSpaceDN w:val="0"/>
        <w:adjustRightInd w:val="0"/>
        <w:spacing w:after="0"/>
        <w:rPr>
          <w:rFonts w:ascii="Arial Narrow" w:eastAsia="Calibri" w:hAnsi="Arial Narrow" w:cs="Arial"/>
          <w:u w:val="single"/>
          <w:lang w:val="en-GB" w:eastAsia="en-US"/>
        </w:rPr>
      </w:pPr>
      <w:r w:rsidRPr="00B30555">
        <w:rPr>
          <w:rFonts w:ascii="Arial Narrow" w:eastAsia="Calibri" w:hAnsi="Arial Narrow" w:cs="Arial"/>
          <w:u w:val="single"/>
          <w:lang w:val="en-GB" w:eastAsia="en-US"/>
        </w:rPr>
        <w:lastRenderedPageBreak/>
        <w:t>Financial income</w:t>
      </w:r>
    </w:p>
    <w:p w14:paraId="61924639" w14:textId="77777777" w:rsidR="00620871" w:rsidRPr="00B30555" w:rsidRDefault="00620871" w:rsidP="00620871">
      <w:pPr>
        <w:autoSpaceDE w:val="0"/>
        <w:autoSpaceDN w:val="0"/>
        <w:adjustRightInd w:val="0"/>
        <w:spacing w:after="0" w:line="240" w:lineRule="auto"/>
        <w:rPr>
          <w:rFonts w:ascii="Arial Narrow" w:eastAsia="Calibri" w:hAnsi="Arial Narrow" w:cs="Arial"/>
          <w:i/>
          <w:lang w:val="en-GB" w:eastAsia="en-US"/>
        </w:rPr>
      </w:pPr>
    </w:p>
    <w:p w14:paraId="439CD338" w14:textId="77777777" w:rsidR="00EC0F59" w:rsidRPr="00B444A4" w:rsidRDefault="00EC0F59" w:rsidP="00EC0F59">
      <w:pPr>
        <w:suppressAutoHyphens/>
        <w:spacing w:after="120"/>
        <w:rPr>
          <w:rFonts w:ascii="Arial Narrow" w:hAnsi="Arial Narrow" w:cs="Arial"/>
          <w:lang w:eastAsia="fr-FR"/>
        </w:rPr>
      </w:pPr>
      <w:r w:rsidRPr="00B444A4">
        <w:rPr>
          <w:rFonts w:ascii="Arial Narrow" w:hAnsi="Arial Narrow" w:cs="Arial"/>
          <w:lang w:eastAsia="fr-FR"/>
        </w:rPr>
        <w:t>Net financial income for the first quarter was €</w:t>
      </w:r>
      <w:r>
        <w:rPr>
          <w:rFonts w:ascii="Arial Narrow" w:hAnsi="Arial Narrow" w:cs="Arial"/>
          <w:lang w:eastAsia="fr-FR"/>
        </w:rPr>
        <w:t>2.7m</w:t>
      </w:r>
      <w:r w:rsidRPr="00B444A4">
        <w:rPr>
          <w:rFonts w:ascii="Arial Narrow" w:hAnsi="Arial Narrow" w:cs="Arial"/>
          <w:lang w:eastAsia="fr-FR"/>
        </w:rPr>
        <w:t>.</w:t>
      </w:r>
    </w:p>
    <w:p w14:paraId="725FF55D" w14:textId="2F20D743" w:rsidR="00EC0F59" w:rsidRDefault="00EC0F59" w:rsidP="00127462">
      <w:pPr>
        <w:suppressAutoHyphens/>
        <w:spacing w:after="120"/>
        <w:rPr>
          <w:rFonts w:ascii="Arial Narrow" w:hAnsi="Arial Narrow" w:cs="Arial"/>
          <w:lang w:val="en-GB" w:eastAsia="fr-FR"/>
        </w:rPr>
      </w:pPr>
      <w:r w:rsidRPr="00B444A4">
        <w:rPr>
          <w:rFonts w:ascii="Arial Narrow" w:hAnsi="Arial Narrow" w:cs="Arial"/>
          <w:lang w:eastAsia="fr-FR"/>
        </w:rPr>
        <w:t>Despite an environment still marked by historically low interest rates, Coface has</w:t>
      </w:r>
      <w:r w:rsidRPr="00B444A4">
        <w:t xml:space="preserve"> </w:t>
      </w:r>
      <w:r w:rsidRPr="00B444A4">
        <w:rPr>
          <w:rFonts w:ascii="Arial Narrow" w:hAnsi="Arial Narrow" w:cs="Arial"/>
          <w:lang w:eastAsia="fr-FR"/>
        </w:rPr>
        <w:t>managed to achieve a current portfolio yield (i.e. excluding capital gains, depreciation and currency effects) of €9.</w:t>
      </w:r>
      <w:r w:rsidR="00DB24C2">
        <w:rPr>
          <w:rFonts w:ascii="Arial Narrow" w:hAnsi="Arial Narrow" w:cs="Arial"/>
          <w:lang w:eastAsia="fr-FR"/>
        </w:rPr>
        <w:t>6</w:t>
      </w:r>
      <w:r>
        <w:rPr>
          <w:rFonts w:ascii="Arial Narrow" w:hAnsi="Arial Narrow" w:cs="Arial"/>
          <w:lang w:eastAsia="fr-FR"/>
        </w:rPr>
        <w:t>m</w:t>
      </w:r>
      <w:r w:rsidRPr="00B444A4">
        <w:rPr>
          <w:rFonts w:ascii="Arial Narrow" w:hAnsi="Arial Narrow" w:cs="Arial"/>
          <w:lang w:eastAsia="fr-FR"/>
        </w:rPr>
        <w:t xml:space="preserve"> (compared to €10.6 million in Q1-2019). </w:t>
      </w:r>
      <w:r w:rsidR="005F1F21" w:rsidRPr="00B30555">
        <w:rPr>
          <w:rFonts w:ascii="Arial Narrow" w:hAnsi="Arial Narrow" w:cs="Arial"/>
          <w:lang w:val="en-GB" w:eastAsia="fr-FR"/>
        </w:rPr>
        <w:t>The accounting yield</w:t>
      </w:r>
      <w:r w:rsidR="00CF641E" w:rsidRPr="00B30555">
        <w:rPr>
          <w:rStyle w:val="Appelnotedebasdep"/>
          <w:rFonts w:ascii="Arial Narrow" w:hAnsi="Arial Narrow" w:cs="Arial"/>
        </w:rPr>
        <w:footnoteReference w:id="3"/>
      </w:r>
      <w:r w:rsidRPr="00B444A4">
        <w:rPr>
          <w:rFonts w:ascii="Arial Narrow" w:hAnsi="Arial Narrow" w:cs="Arial"/>
          <w:lang w:eastAsia="fr-FR"/>
        </w:rPr>
        <w:t xml:space="preserve">, </w:t>
      </w:r>
      <w:r w:rsidRPr="00C71EE2">
        <w:rPr>
          <w:rFonts w:ascii="Arial Narrow" w:hAnsi="Arial Narrow" w:cs="Arial"/>
          <w:lang w:eastAsia="fr-FR"/>
        </w:rPr>
        <w:t>excluding capital gains and depreciation</w:t>
      </w:r>
      <w:r w:rsidRPr="00B444A4">
        <w:rPr>
          <w:rFonts w:ascii="Arial Narrow" w:hAnsi="Arial Narrow" w:cs="Arial"/>
          <w:lang w:eastAsia="fr-FR"/>
        </w:rPr>
        <w:t>, stood at 0.3% in Q1-2020, and was only very slightly lower than the previous year (0.4%).</w:t>
      </w:r>
    </w:p>
    <w:p w14:paraId="6654F1CF" w14:textId="7482EAFB" w:rsidR="00EC0F59" w:rsidRPr="00B444A4" w:rsidRDefault="00EC0F59" w:rsidP="00EC0F59">
      <w:pPr>
        <w:suppressAutoHyphens/>
        <w:spacing w:after="120"/>
        <w:rPr>
          <w:rFonts w:ascii="Arial Narrow" w:hAnsi="Arial Narrow" w:cs="Arial"/>
          <w:lang w:eastAsia="fr-FR"/>
        </w:rPr>
      </w:pPr>
      <w:r w:rsidRPr="00B444A4">
        <w:rPr>
          <w:rFonts w:ascii="Arial Narrow" w:hAnsi="Arial Narrow" w:cs="Arial"/>
          <w:lang w:eastAsia="fr-FR"/>
        </w:rPr>
        <w:t>Faced with the financial crisis, Coface reduced its exposure to risky assets very early and in particular to high-yield bonds. These measur</w:t>
      </w:r>
      <w:r>
        <w:rPr>
          <w:rFonts w:ascii="Arial Narrow" w:hAnsi="Arial Narrow" w:cs="Arial"/>
          <w:lang w:eastAsia="fr-FR"/>
        </w:rPr>
        <w:t xml:space="preserve">es resulted in a net charge of </w:t>
      </w:r>
      <w:proofErr w:type="gramStart"/>
      <w:r w:rsidRPr="00B444A4">
        <w:rPr>
          <w:rFonts w:ascii="Arial Narrow" w:hAnsi="Arial Narrow" w:cs="Arial"/>
          <w:lang w:eastAsia="fr-FR"/>
        </w:rPr>
        <w:t>€</w:t>
      </w:r>
      <w:r w:rsidR="001461D7">
        <w:rPr>
          <w:rFonts w:ascii="Arial Narrow" w:hAnsi="Arial Narrow" w:cs="Arial"/>
          <w:lang w:eastAsia="fr-FR"/>
        </w:rPr>
        <w:t>(</w:t>
      </w:r>
      <w:proofErr w:type="gramEnd"/>
      <w:r w:rsidRPr="00B444A4">
        <w:rPr>
          <w:rFonts w:ascii="Arial Narrow" w:hAnsi="Arial Narrow" w:cs="Arial"/>
          <w:lang w:eastAsia="fr-FR"/>
        </w:rPr>
        <w:t>2.</w:t>
      </w:r>
      <w:r w:rsidR="00DB24C2">
        <w:rPr>
          <w:rFonts w:ascii="Arial Narrow" w:hAnsi="Arial Narrow" w:cs="Arial"/>
          <w:lang w:eastAsia="fr-FR"/>
        </w:rPr>
        <w:t>2</w:t>
      </w:r>
      <w:r w:rsidR="001461D7">
        <w:rPr>
          <w:rFonts w:ascii="Arial Narrow" w:hAnsi="Arial Narrow" w:cs="Arial"/>
          <w:lang w:eastAsia="fr-FR"/>
        </w:rPr>
        <w:t>)m</w:t>
      </w:r>
      <w:r w:rsidRPr="00B444A4">
        <w:rPr>
          <w:rFonts w:ascii="Arial Narrow" w:hAnsi="Arial Narrow" w:cs="Arial"/>
          <w:lang w:eastAsia="fr-FR"/>
        </w:rPr>
        <w:t>. The share of liquidity in the investment portfolio now stands at 2</w:t>
      </w:r>
      <w:r w:rsidR="005C5224">
        <w:rPr>
          <w:rFonts w:ascii="Arial Narrow" w:hAnsi="Arial Narrow" w:cs="Arial"/>
          <w:lang w:eastAsia="fr-FR"/>
        </w:rPr>
        <w:t>1</w:t>
      </w:r>
      <w:r w:rsidRPr="00B444A4">
        <w:rPr>
          <w:rFonts w:ascii="Arial Narrow" w:hAnsi="Arial Narrow" w:cs="Arial"/>
          <w:lang w:eastAsia="fr-FR"/>
        </w:rPr>
        <w:t>%.</w:t>
      </w:r>
    </w:p>
    <w:p w14:paraId="63CD8A4F" w14:textId="77777777" w:rsidR="00793C96" w:rsidRPr="00B30555" w:rsidRDefault="00364F8C" w:rsidP="00620871">
      <w:pPr>
        <w:numPr>
          <w:ilvl w:val="0"/>
          <w:numId w:val="17"/>
        </w:numPr>
        <w:autoSpaceDE w:val="0"/>
        <w:autoSpaceDN w:val="0"/>
        <w:adjustRightInd w:val="0"/>
        <w:spacing w:after="0"/>
        <w:rPr>
          <w:rFonts w:ascii="Arial Narrow" w:eastAsia="Calibri" w:hAnsi="Arial Narrow" w:cs="Arial"/>
          <w:u w:val="single"/>
          <w:lang w:val="en-GB" w:eastAsia="en-US"/>
        </w:rPr>
      </w:pPr>
      <w:r w:rsidRPr="00B30555">
        <w:rPr>
          <w:rFonts w:ascii="Arial Narrow" w:eastAsia="Calibri" w:hAnsi="Arial Narrow" w:cs="Arial"/>
          <w:u w:val="single"/>
          <w:lang w:val="en-GB" w:eastAsia="en-US"/>
        </w:rPr>
        <w:t>Operating income and net income</w:t>
      </w:r>
    </w:p>
    <w:p w14:paraId="5F3FD90E" w14:textId="77777777" w:rsidR="00620871" w:rsidRPr="00B30555" w:rsidRDefault="00620871" w:rsidP="00620871">
      <w:pPr>
        <w:autoSpaceDE w:val="0"/>
        <w:autoSpaceDN w:val="0"/>
        <w:adjustRightInd w:val="0"/>
        <w:spacing w:after="0" w:line="240" w:lineRule="auto"/>
        <w:rPr>
          <w:rFonts w:ascii="Arial Narrow" w:eastAsia="Calibri" w:hAnsi="Arial Narrow" w:cs="Arial"/>
          <w:i/>
          <w:lang w:val="en-GB" w:eastAsia="en-US"/>
        </w:rPr>
      </w:pPr>
    </w:p>
    <w:p w14:paraId="2F76DE8E" w14:textId="77777777" w:rsidR="00E6702F" w:rsidRPr="00B444A4" w:rsidRDefault="00E6702F" w:rsidP="00E6702F">
      <w:pPr>
        <w:autoSpaceDE w:val="0"/>
        <w:autoSpaceDN w:val="0"/>
        <w:adjustRightInd w:val="0"/>
        <w:spacing w:after="120"/>
        <w:rPr>
          <w:rFonts w:ascii="Arial Narrow" w:eastAsia="Calibri" w:hAnsi="Arial Narrow" w:cs="Arial"/>
          <w:lang w:eastAsia="fr-FR"/>
        </w:rPr>
      </w:pPr>
      <w:r w:rsidRPr="00B444A4">
        <w:rPr>
          <w:rFonts w:ascii="Arial Narrow" w:eastAsia="Calibri" w:hAnsi="Arial Narrow" w:cs="Arial"/>
          <w:lang w:eastAsia="en-US"/>
        </w:rPr>
        <w:t xml:space="preserve">Operating income for Q1-2020 was </w:t>
      </w:r>
      <w:r w:rsidRPr="00B444A4">
        <w:rPr>
          <w:rFonts w:ascii="Arial Narrow" w:eastAsia="Calibri" w:hAnsi="Arial Narrow" w:cs="Arial"/>
          <w:lang w:eastAsia="fr-FR"/>
        </w:rPr>
        <w:t>€3</w:t>
      </w:r>
      <w:r>
        <w:rPr>
          <w:rFonts w:ascii="Arial Narrow" w:eastAsia="Calibri" w:hAnsi="Arial Narrow" w:cs="Arial"/>
          <w:lang w:eastAsia="fr-FR"/>
        </w:rPr>
        <w:t>0.9m</w:t>
      </w:r>
      <w:r w:rsidRPr="00B444A4">
        <w:rPr>
          <w:rFonts w:ascii="Arial Narrow" w:eastAsia="Calibri" w:hAnsi="Arial Narrow" w:cs="Arial"/>
          <w:lang w:eastAsia="fr-FR"/>
        </w:rPr>
        <w:t>, a decrease (-45</w:t>
      </w:r>
      <w:r>
        <w:rPr>
          <w:rFonts w:ascii="Arial Narrow" w:eastAsia="Calibri" w:hAnsi="Arial Narrow" w:cs="Arial"/>
          <w:lang w:eastAsia="fr-FR"/>
        </w:rPr>
        <w:t>.9</w:t>
      </w:r>
      <w:r w:rsidRPr="00B444A4">
        <w:rPr>
          <w:rFonts w:ascii="Arial Narrow" w:eastAsia="Calibri" w:hAnsi="Arial Narrow" w:cs="Arial"/>
          <w:lang w:eastAsia="fr-FR"/>
        </w:rPr>
        <w:t>%) compared to the previous year, mainly due to the increase in the loss ratio.</w:t>
      </w:r>
    </w:p>
    <w:p w14:paraId="7E44B9B6" w14:textId="5B50C066" w:rsidR="00E6702F" w:rsidRPr="00B444A4" w:rsidRDefault="00E6702F" w:rsidP="00E6702F">
      <w:pPr>
        <w:suppressAutoHyphens/>
        <w:spacing w:after="120"/>
        <w:rPr>
          <w:rFonts w:ascii="Arial Narrow" w:eastAsia="Calibri" w:hAnsi="Arial Narrow" w:cs="Arial"/>
          <w:lang w:eastAsia="fr-FR"/>
        </w:rPr>
      </w:pPr>
      <w:r w:rsidRPr="00B444A4">
        <w:rPr>
          <w:rFonts w:ascii="Arial Narrow" w:eastAsia="Calibri" w:hAnsi="Arial Narrow" w:cs="Arial"/>
          <w:lang w:eastAsia="fr-FR"/>
        </w:rPr>
        <w:t xml:space="preserve">The effective tax rate deteriorated, at </w:t>
      </w:r>
      <w:r>
        <w:rPr>
          <w:rFonts w:ascii="Arial Narrow" w:eastAsia="Calibri" w:hAnsi="Arial Narrow" w:cs="Arial"/>
          <w:lang w:eastAsia="fr-FR"/>
        </w:rPr>
        <w:t>50</w:t>
      </w:r>
      <w:r w:rsidRPr="00B444A4">
        <w:rPr>
          <w:rFonts w:ascii="Arial Narrow" w:eastAsia="Calibri" w:hAnsi="Arial Narrow" w:cs="Arial"/>
          <w:lang w:eastAsia="fr-FR"/>
        </w:rPr>
        <w:t xml:space="preserve">% compared to 29% for Q1-2019. This increase is mainly </w:t>
      </w:r>
      <w:r w:rsidR="00FD5CEB">
        <w:rPr>
          <w:rFonts w:ascii="Arial Narrow" w:eastAsia="Calibri" w:hAnsi="Arial Narrow" w:cs="Arial"/>
          <w:lang w:eastAsia="fr-FR"/>
        </w:rPr>
        <w:t>due to</w:t>
      </w:r>
      <w:r w:rsidRPr="00B444A4">
        <w:rPr>
          <w:rFonts w:ascii="Arial Narrow" w:eastAsia="Calibri" w:hAnsi="Arial Narrow" w:cs="Arial"/>
          <w:lang w:eastAsia="fr-FR"/>
        </w:rPr>
        <w:t xml:space="preserve"> the occurrence of a very large claim compared to the size of the entity in which it </w:t>
      </w:r>
      <w:proofErr w:type="gramStart"/>
      <w:r w:rsidR="00FD5CEB">
        <w:rPr>
          <w:rFonts w:ascii="Arial Narrow" w:eastAsia="Calibri" w:hAnsi="Arial Narrow" w:cs="Arial"/>
          <w:lang w:eastAsia="fr-FR"/>
        </w:rPr>
        <w:t>wa</w:t>
      </w:r>
      <w:r w:rsidRPr="00B444A4">
        <w:rPr>
          <w:rFonts w:ascii="Arial Narrow" w:eastAsia="Calibri" w:hAnsi="Arial Narrow" w:cs="Arial"/>
          <w:lang w:eastAsia="fr-FR"/>
        </w:rPr>
        <w:t>s recorded</w:t>
      </w:r>
      <w:proofErr w:type="gramEnd"/>
      <w:r w:rsidRPr="00B444A4">
        <w:rPr>
          <w:rFonts w:ascii="Arial Narrow" w:eastAsia="Calibri" w:hAnsi="Arial Narrow" w:cs="Arial"/>
          <w:lang w:eastAsia="fr-FR"/>
        </w:rPr>
        <w:t>.</w:t>
      </w:r>
    </w:p>
    <w:p w14:paraId="2D9569F0" w14:textId="77777777" w:rsidR="009C6EC1" w:rsidRPr="00B30555" w:rsidRDefault="00E6702F" w:rsidP="00E6702F">
      <w:pPr>
        <w:suppressAutoHyphens/>
        <w:spacing w:after="120"/>
        <w:rPr>
          <w:rFonts w:ascii="Arial Narrow" w:hAnsi="Arial Narrow" w:cs="Arial"/>
          <w:lang w:val="en-GB" w:eastAsia="fr-FR"/>
        </w:rPr>
      </w:pPr>
      <w:r w:rsidRPr="00B444A4">
        <w:rPr>
          <w:rFonts w:ascii="Arial Narrow" w:eastAsia="Calibri" w:hAnsi="Arial Narrow" w:cs="Arial"/>
          <w:lang w:eastAsia="fr-FR"/>
        </w:rPr>
        <w:t>In total, the net income (group share) was €</w:t>
      </w:r>
      <w:r>
        <w:rPr>
          <w:rFonts w:ascii="Arial Narrow" w:eastAsia="Calibri" w:hAnsi="Arial Narrow" w:cs="Arial"/>
          <w:lang w:eastAsia="fr-FR"/>
        </w:rPr>
        <w:t>12</w:t>
      </w:r>
      <w:r w:rsidRPr="00B444A4">
        <w:rPr>
          <w:rFonts w:ascii="Arial Narrow" w:eastAsia="Calibri" w:hAnsi="Arial Narrow" w:cs="Arial"/>
          <w:lang w:eastAsia="fr-FR"/>
        </w:rPr>
        <w:t>.</w:t>
      </w:r>
      <w:r>
        <w:rPr>
          <w:rFonts w:ascii="Arial Narrow" w:eastAsia="Calibri" w:hAnsi="Arial Narrow" w:cs="Arial"/>
          <w:lang w:eastAsia="fr-FR"/>
        </w:rPr>
        <w:t>7m</w:t>
      </w:r>
      <w:r w:rsidRPr="00B444A4">
        <w:rPr>
          <w:rFonts w:ascii="Arial Narrow" w:hAnsi="Arial Narrow" w:cs="Arial"/>
          <w:lang w:eastAsia="fr-FR"/>
        </w:rPr>
        <w:t>.</w:t>
      </w:r>
    </w:p>
    <w:p w14:paraId="580DE88A" w14:textId="77777777" w:rsidR="00CF641E" w:rsidRPr="00B30555" w:rsidRDefault="00CF641E" w:rsidP="00620871">
      <w:pPr>
        <w:autoSpaceDE w:val="0"/>
        <w:autoSpaceDN w:val="0"/>
        <w:adjustRightInd w:val="0"/>
        <w:spacing w:after="0"/>
        <w:ind w:left="720"/>
        <w:rPr>
          <w:rFonts w:ascii="Arial Narrow" w:eastAsia="Calibri" w:hAnsi="Arial Narrow" w:cs="Arial"/>
          <w:b/>
          <w:bCs/>
          <w:highlight w:val="yellow"/>
          <w:lang w:val="en-GB" w:eastAsia="en-US"/>
        </w:rPr>
      </w:pPr>
    </w:p>
    <w:p w14:paraId="289ED37F" w14:textId="77777777" w:rsidR="005E4CE2" w:rsidRPr="00B30555" w:rsidRDefault="0081784F" w:rsidP="009B70A5">
      <w:pPr>
        <w:numPr>
          <w:ilvl w:val="0"/>
          <w:numId w:val="16"/>
        </w:numPr>
        <w:autoSpaceDE w:val="0"/>
        <w:autoSpaceDN w:val="0"/>
        <w:adjustRightInd w:val="0"/>
        <w:spacing w:after="0"/>
        <w:rPr>
          <w:rFonts w:ascii="Arial Narrow" w:eastAsia="Calibri" w:hAnsi="Arial Narrow" w:cs="Arial"/>
          <w:b/>
          <w:bCs/>
          <w:lang w:val="en-GB" w:eastAsia="en-US"/>
        </w:rPr>
      </w:pPr>
      <w:r>
        <w:rPr>
          <w:rFonts w:ascii="Arial Narrow" w:eastAsia="Calibri" w:hAnsi="Arial Narrow" w:cs="Arial"/>
          <w:b/>
          <w:bCs/>
          <w:lang w:val="en-GB" w:eastAsia="en-US"/>
        </w:rPr>
        <w:t>Shareholders’ e</w:t>
      </w:r>
      <w:r w:rsidR="009113BD">
        <w:rPr>
          <w:rFonts w:ascii="Arial Narrow" w:eastAsia="Calibri" w:hAnsi="Arial Narrow" w:cs="Arial"/>
          <w:b/>
          <w:bCs/>
          <w:lang w:val="en-GB" w:eastAsia="en-US"/>
        </w:rPr>
        <w:t>quity</w:t>
      </w:r>
    </w:p>
    <w:p w14:paraId="70246F0C" w14:textId="77777777" w:rsidR="009B70A5" w:rsidRPr="00B30555" w:rsidRDefault="009B70A5" w:rsidP="009B70A5">
      <w:pPr>
        <w:autoSpaceDE w:val="0"/>
        <w:autoSpaceDN w:val="0"/>
        <w:adjustRightInd w:val="0"/>
        <w:spacing w:after="0" w:line="240" w:lineRule="auto"/>
        <w:rPr>
          <w:rFonts w:ascii="Arial Narrow" w:eastAsia="Calibri" w:hAnsi="Arial Narrow" w:cs="Arial"/>
          <w:i/>
          <w:lang w:val="en-GB" w:eastAsia="en-US"/>
        </w:rPr>
      </w:pPr>
    </w:p>
    <w:p w14:paraId="40C51D3D" w14:textId="440039AF" w:rsidR="00221EE0" w:rsidRPr="00B444A4" w:rsidRDefault="00221EE0" w:rsidP="00221EE0">
      <w:pPr>
        <w:suppressAutoHyphens/>
        <w:spacing w:after="120"/>
        <w:rPr>
          <w:rFonts w:ascii="Arial Narrow" w:hAnsi="Arial Narrow" w:cs="Arial"/>
          <w:lang w:eastAsia="fr-FR"/>
        </w:rPr>
      </w:pPr>
      <w:r w:rsidRPr="00B444A4">
        <w:rPr>
          <w:rFonts w:ascii="Arial Narrow" w:eastAsia="Calibri" w:hAnsi="Arial Narrow" w:cs="Arial"/>
          <w:bCs/>
          <w:lang w:eastAsia="en-US"/>
        </w:rPr>
        <w:t xml:space="preserve">As of </w:t>
      </w:r>
      <w:r>
        <w:rPr>
          <w:rFonts w:ascii="Arial Narrow" w:eastAsia="Calibri" w:hAnsi="Arial Narrow" w:cs="Arial"/>
          <w:bCs/>
          <w:lang w:eastAsia="en-US"/>
        </w:rPr>
        <w:t xml:space="preserve">31 </w:t>
      </w:r>
      <w:r w:rsidRPr="00B444A4">
        <w:rPr>
          <w:rFonts w:ascii="Arial Narrow" w:eastAsia="Calibri" w:hAnsi="Arial Narrow" w:cs="Arial"/>
          <w:bCs/>
          <w:lang w:eastAsia="en-US"/>
        </w:rPr>
        <w:t>March 2020, the Group's equity</w:t>
      </w:r>
      <w:r>
        <w:rPr>
          <w:rFonts w:ascii="Arial Narrow" w:eastAsia="Calibri" w:hAnsi="Arial Narrow" w:cs="Arial"/>
          <w:bCs/>
          <w:lang w:eastAsia="en-US"/>
        </w:rPr>
        <w:t xml:space="preserve"> stood at €1,85</w:t>
      </w:r>
      <w:r w:rsidR="00297CDE">
        <w:rPr>
          <w:rFonts w:ascii="Arial Narrow" w:eastAsia="Calibri" w:hAnsi="Arial Narrow" w:cs="Arial"/>
          <w:bCs/>
          <w:lang w:eastAsia="en-US"/>
        </w:rPr>
        <w:t>4.7</w:t>
      </w:r>
      <w:r>
        <w:rPr>
          <w:rFonts w:ascii="Arial Narrow" w:eastAsia="Calibri" w:hAnsi="Arial Narrow" w:cs="Arial"/>
          <w:bCs/>
          <w:lang w:eastAsia="en-US"/>
        </w:rPr>
        <w:t>m, down €</w:t>
      </w:r>
      <w:r w:rsidR="00297CDE">
        <w:rPr>
          <w:rFonts w:ascii="Arial Narrow" w:eastAsia="Calibri" w:hAnsi="Arial Narrow" w:cs="Arial"/>
          <w:bCs/>
          <w:lang w:eastAsia="en-US"/>
        </w:rPr>
        <w:t>69</w:t>
      </w:r>
      <w:r>
        <w:rPr>
          <w:rFonts w:ascii="Arial Narrow" w:eastAsia="Calibri" w:hAnsi="Arial Narrow" w:cs="Arial"/>
          <w:bCs/>
          <w:lang w:eastAsia="en-US"/>
        </w:rPr>
        <w:t>.</w:t>
      </w:r>
      <w:r w:rsidR="00297CDE">
        <w:rPr>
          <w:rFonts w:ascii="Arial Narrow" w:eastAsia="Calibri" w:hAnsi="Arial Narrow" w:cs="Arial"/>
          <w:bCs/>
          <w:lang w:eastAsia="en-US"/>
        </w:rPr>
        <w:t>8</w:t>
      </w:r>
      <w:r>
        <w:rPr>
          <w:rFonts w:ascii="Arial Narrow" w:eastAsia="Calibri" w:hAnsi="Arial Narrow" w:cs="Arial"/>
          <w:bCs/>
          <w:lang w:eastAsia="en-US"/>
        </w:rPr>
        <w:t>m</w:t>
      </w:r>
      <w:r w:rsidRPr="00B444A4">
        <w:rPr>
          <w:rFonts w:ascii="Arial Narrow" w:eastAsia="Calibri" w:hAnsi="Arial Narrow" w:cs="Arial"/>
          <w:bCs/>
          <w:lang w:eastAsia="en-US"/>
        </w:rPr>
        <w:t>, or -3.</w:t>
      </w:r>
      <w:r w:rsidR="00297CDE">
        <w:rPr>
          <w:rFonts w:ascii="Arial Narrow" w:eastAsia="Calibri" w:hAnsi="Arial Narrow" w:cs="Arial"/>
          <w:bCs/>
          <w:lang w:eastAsia="en-US"/>
        </w:rPr>
        <w:t>6</w:t>
      </w:r>
      <w:r w:rsidRPr="00B444A4">
        <w:rPr>
          <w:rFonts w:ascii="Arial Narrow" w:eastAsia="Calibri" w:hAnsi="Arial Narrow" w:cs="Arial"/>
          <w:bCs/>
          <w:lang w:eastAsia="en-US"/>
        </w:rPr>
        <w:t>% (€</w:t>
      </w:r>
      <w:r>
        <w:rPr>
          <w:rFonts w:ascii="Arial Narrow" w:eastAsia="Calibri" w:hAnsi="Arial Narrow" w:cs="Arial"/>
          <w:bCs/>
          <w:lang w:eastAsia="en-US"/>
        </w:rPr>
        <w:t>1,</w:t>
      </w:r>
      <w:r w:rsidRPr="00B444A4">
        <w:rPr>
          <w:rFonts w:ascii="Arial Narrow" w:eastAsia="Calibri" w:hAnsi="Arial Narrow" w:cs="Arial"/>
          <w:bCs/>
          <w:lang w:eastAsia="en-US"/>
        </w:rPr>
        <w:t>924.5</w:t>
      </w:r>
      <w:r>
        <w:rPr>
          <w:rFonts w:ascii="Arial Narrow" w:eastAsia="Calibri" w:hAnsi="Arial Narrow" w:cs="Arial"/>
          <w:bCs/>
          <w:lang w:eastAsia="en-US"/>
        </w:rPr>
        <w:t>m</w:t>
      </w:r>
      <w:r w:rsidRPr="00B444A4">
        <w:rPr>
          <w:rFonts w:ascii="Arial Narrow" w:eastAsia="Calibri" w:hAnsi="Arial Narrow" w:cs="Arial"/>
          <w:bCs/>
          <w:lang w:eastAsia="en-US"/>
        </w:rPr>
        <w:t xml:space="preserve"> at 31 December </w:t>
      </w:r>
      <w:r w:rsidRPr="00B444A4">
        <w:rPr>
          <w:rFonts w:ascii="Arial Narrow" w:hAnsi="Arial Narrow" w:cs="Arial"/>
          <w:lang w:eastAsia="fr-FR"/>
        </w:rPr>
        <w:t>2019).</w:t>
      </w:r>
    </w:p>
    <w:p w14:paraId="64FF8CFE" w14:textId="56809A6D" w:rsidR="00221EE0" w:rsidRPr="00B444A4" w:rsidRDefault="00221EE0" w:rsidP="00221EE0">
      <w:pPr>
        <w:suppressAutoHyphens/>
        <w:spacing w:after="120"/>
        <w:rPr>
          <w:rFonts w:ascii="Arial Narrow" w:hAnsi="Arial Narrow" w:cs="Arial"/>
          <w:lang w:eastAsia="fr-FR"/>
        </w:rPr>
      </w:pPr>
      <w:r w:rsidRPr="00B444A4">
        <w:rPr>
          <w:rFonts w:ascii="Arial Narrow" w:hAnsi="Arial Narrow" w:cs="Arial"/>
          <w:lang w:eastAsia="fr-FR"/>
        </w:rPr>
        <w:t xml:space="preserve">This change is mainly </w:t>
      </w:r>
      <w:r w:rsidR="00FD5CEB">
        <w:rPr>
          <w:rFonts w:ascii="Arial Narrow" w:hAnsi="Arial Narrow" w:cs="Arial"/>
          <w:lang w:eastAsia="fr-FR"/>
        </w:rPr>
        <w:t xml:space="preserve">due to </w:t>
      </w:r>
      <w:r w:rsidRPr="00B444A4">
        <w:rPr>
          <w:rFonts w:ascii="Arial Narrow" w:hAnsi="Arial Narrow" w:cs="Arial"/>
          <w:lang w:eastAsia="fr-FR"/>
        </w:rPr>
        <w:t>the positive net income of €</w:t>
      </w:r>
      <w:r w:rsidR="00297CDE">
        <w:rPr>
          <w:rFonts w:ascii="Arial Narrow" w:hAnsi="Arial Narrow" w:cs="Arial"/>
          <w:lang w:eastAsia="fr-FR"/>
        </w:rPr>
        <w:t>12</w:t>
      </w:r>
      <w:r w:rsidRPr="00B444A4">
        <w:rPr>
          <w:rFonts w:ascii="Arial Narrow" w:hAnsi="Arial Narrow" w:cs="Arial"/>
          <w:lang w:eastAsia="fr-FR"/>
        </w:rPr>
        <w:t>.</w:t>
      </w:r>
      <w:r w:rsidR="00297CDE">
        <w:rPr>
          <w:rFonts w:ascii="Arial Narrow" w:hAnsi="Arial Narrow" w:cs="Arial"/>
          <w:lang w:eastAsia="fr-FR"/>
        </w:rPr>
        <w:t>7</w:t>
      </w:r>
      <w:r>
        <w:rPr>
          <w:rFonts w:ascii="Arial Narrow" w:hAnsi="Arial Narrow" w:cs="Arial"/>
          <w:lang w:eastAsia="fr-FR"/>
        </w:rPr>
        <w:t>m</w:t>
      </w:r>
      <w:r w:rsidRPr="00B444A4">
        <w:rPr>
          <w:rFonts w:ascii="Arial Narrow" w:hAnsi="Arial Narrow" w:cs="Arial"/>
          <w:lang w:eastAsia="fr-FR"/>
        </w:rPr>
        <w:t xml:space="preserve">, offset by negative adjustments to the value of investments </w:t>
      </w:r>
      <w:r w:rsidRPr="00B444A4">
        <w:rPr>
          <w:rFonts w:ascii="Arial Narrow" w:eastAsia="Calibri" w:hAnsi="Arial Narrow" w:cs="Arial"/>
          <w:bCs/>
          <w:lang w:eastAsia="en-US"/>
        </w:rPr>
        <w:t>(</w:t>
      </w:r>
      <w:r w:rsidRPr="00B444A4">
        <w:rPr>
          <w:rFonts w:ascii="Arial Narrow" w:hAnsi="Arial Narrow" w:cs="Arial"/>
          <w:lang w:eastAsia="fr-FR"/>
        </w:rPr>
        <w:t>€7</w:t>
      </w:r>
      <w:r w:rsidR="00297CDE">
        <w:rPr>
          <w:rFonts w:ascii="Arial Narrow" w:hAnsi="Arial Narrow" w:cs="Arial"/>
          <w:lang w:eastAsia="fr-FR"/>
        </w:rPr>
        <w:t>4</w:t>
      </w:r>
      <w:r w:rsidRPr="00B444A4">
        <w:rPr>
          <w:rFonts w:ascii="Arial Narrow" w:hAnsi="Arial Narrow" w:cs="Arial"/>
          <w:lang w:eastAsia="fr-FR"/>
        </w:rPr>
        <w:t>.0</w:t>
      </w:r>
      <w:r>
        <w:rPr>
          <w:rFonts w:ascii="Arial Narrow" w:hAnsi="Arial Narrow" w:cs="Arial"/>
          <w:lang w:eastAsia="fr-FR"/>
        </w:rPr>
        <w:t>m</w:t>
      </w:r>
      <w:r w:rsidRPr="00B444A4">
        <w:rPr>
          <w:rFonts w:ascii="Arial Narrow" w:hAnsi="Arial Narrow" w:cs="Arial"/>
          <w:lang w:eastAsia="fr-FR"/>
        </w:rPr>
        <w:t xml:space="preserve">). </w:t>
      </w:r>
    </w:p>
    <w:p w14:paraId="3AD0D254" w14:textId="77777777" w:rsidR="00221EE0" w:rsidRPr="00B444A4" w:rsidRDefault="00221EE0" w:rsidP="00221EE0">
      <w:pPr>
        <w:suppressAutoHyphens/>
        <w:spacing w:after="120"/>
        <w:rPr>
          <w:rFonts w:ascii="Arial Narrow" w:eastAsia="Calibri" w:hAnsi="Arial Narrow" w:cs="Arial"/>
          <w:bCs/>
          <w:lang w:eastAsia="en-US"/>
        </w:rPr>
      </w:pPr>
      <w:r w:rsidRPr="00B444A4">
        <w:rPr>
          <w:rFonts w:ascii="Arial Narrow" w:eastAsia="Calibri" w:hAnsi="Arial Narrow" w:cs="Arial"/>
          <w:bCs/>
          <w:lang w:eastAsia="en-US"/>
        </w:rPr>
        <w:t>The return on average</w:t>
      </w:r>
      <w:r w:rsidR="00297CDE">
        <w:rPr>
          <w:rFonts w:ascii="Arial Narrow" w:eastAsia="Calibri" w:hAnsi="Arial Narrow" w:cs="Arial"/>
          <w:bCs/>
          <w:lang w:eastAsia="en-US"/>
        </w:rPr>
        <w:t xml:space="preserve"> tangible equity (RoATE) was 3.0</w:t>
      </w:r>
      <w:r w:rsidRPr="00B444A4">
        <w:rPr>
          <w:rFonts w:ascii="Arial Narrow" w:eastAsia="Calibri" w:hAnsi="Arial Narrow" w:cs="Arial"/>
          <w:bCs/>
          <w:lang w:eastAsia="en-US"/>
        </w:rPr>
        <w:t>% for the first quarter.</w:t>
      </w:r>
    </w:p>
    <w:p w14:paraId="7821A320" w14:textId="77777777" w:rsidR="00221EE0" w:rsidRPr="00B444A4" w:rsidRDefault="00221EE0" w:rsidP="00221EE0">
      <w:pPr>
        <w:suppressAutoHyphens/>
        <w:spacing w:after="120"/>
        <w:rPr>
          <w:rFonts w:ascii="Arial Narrow" w:eastAsia="Calibri" w:hAnsi="Arial Narrow" w:cs="Arial"/>
          <w:bCs/>
          <w:lang w:eastAsia="en-US"/>
        </w:rPr>
      </w:pPr>
      <w:r w:rsidRPr="00B444A4">
        <w:rPr>
          <w:rFonts w:ascii="Arial Narrow" w:eastAsia="Calibri" w:hAnsi="Arial Narrow" w:cs="Arial"/>
          <w:bCs/>
          <w:lang w:eastAsia="en-US"/>
        </w:rPr>
        <w:t>The decision not to pay a dividend for 2019 resulted in a gain of 13 points on the solvency ratio, more than compensating for the decrease in solvency caused by the drop in value of investments.</w:t>
      </w:r>
    </w:p>
    <w:p w14:paraId="3D7BEED2" w14:textId="77777777" w:rsidR="00C4425C" w:rsidRPr="00B30555" w:rsidRDefault="00C4425C" w:rsidP="00707C69">
      <w:pPr>
        <w:suppressAutoHyphens/>
        <w:spacing w:after="120"/>
        <w:rPr>
          <w:rFonts w:ascii="Arial Narrow" w:eastAsia="Calibri" w:hAnsi="Arial Narrow" w:cs="Arial"/>
          <w:bCs/>
          <w:highlight w:val="yellow"/>
          <w:lang w:val="en-GB" w:eastAsia="en-US"/>
        </w:rPr>
      </w:pPr>
      <w:r w:rsidRPr="00B30555">
        <w:rPr>
          <w:rFonts w:ascii="Arial Narrow" w:eastAsia="Calibri" w:hAnsi="Arial Narrow" w:cs="Arial"/>
          <w:bCs/>
          <w:highlight w:val="yellow"/>
          <w:lang w:val="en-GB" w:eastAsia="en-US"/>
        </w:rPr>
        <w:br w:type="page"/>
      </w:r>
    </w:p>
    <w:p w14:paraId="5685D337" w14:textId="77777777" w:rsidR="00397973" w:rsidRPr="00B30555" w:rsidRDefault="00BD4D1B" w:rsidP="009B70A5">
      <w:pPr>
        <w:numPr>
          <w:ilvl w:val="0"/>
          <w:numId w:val="16"/>
        </w:numPr>
        <w:autoSpaceDE w:val="0"/>
        <w:autoSpaceDN w:val="0"/>
        <w:adjustRightInd w:val="0"/>
        <w:spacing w:after="0"/>
        <w:rPr>
          <w:rFonts w:ascii="Arial Narrow" w:eastAsia="Calibri" w:hAnsi="Arial Narrow" w:cs="Arial"/>
          <w:b/>
          <w:bCs/>
          <w:lang w:val="en-GB" w:eastAsia="en-US"/>
        </w:rPr>
      </w:pPr>
      <w:r w:rsidRPr="00B30555">
        <w:rPr>
          <w:rFonts w:ascii="Arial Narrow" w:eastAsia="Calibri" w:hAnsi="Arial Narrow" w:cs="Arial"/>
          <w:b/>
          <w:bCs/>
          <w:lang w:val="en-GB" w:eastAsia="en-US"/>
        </w:rPr>
        <w:lastRenderedPageBreak/>
        <w:t>Outlook</w:t>
      </w:r>
    </w:p>
    <w:p w14:paraId="6704D885" w14:textId="77777777" w:rsidR="009B70A5" w:rsidRPr="00B30555" w:rsidRDefault="009B70A5" w:rsidP="009B70A5">
      <w:pPr>
        <w:autoSpaceDE w:val="0"/>
        <w:autoSpaceDN w:val="0"/>
        <w:adjustRightInd w:val="0"/>
        <w:spacing w:after="0" w:line="240" w:lineRule="auto"/>
        <w:rPr>
          <w:rFonts w:ascii="Arial Narrow" w:eastAsia="Calibri" w:hAnsi="Arial Narrow" w:cs="Arial"/>
          <w:i/>
          <w:lang w:val="en-GB" w:eastAsia="en-US"/>
        </w:rPr>
      </w:pPr>
    </w:p>
    <w:p w14:paraId="3FF3439A" w14:textId="2B97A4D6" w:rsidR="00221EE0" w:rsidRPr="00B444A4" w:rsidRDefault="00221EE0" w:rsidP="00221EE0">
      <w:pPr>
        <w:suppressAutoHyphens/>
        <w:spacing w:after="120"/>
        <w:rPr>
          <w:rFonts w:ascii="Arial Narrow" w:eastAsia="Calibri" w:hAnsi="Arial Narrow" w:cs="Arial"/>
          <w:lang w:eastAsia="en-US"/>
        </w:rPr>
      </w:pPr>
      <w:r w:rsidRPr="00B444A4">
        <w:rPr>
          <w:rFonts w:ascii="Arial Narrow" w:eastAsia="Calibri" w:hAnsi="Arial Narrow" w:cs="Arial"/>
          <w:lang w:eastAsia="en-US"/>
        </w:rPr>
        <w:t>The development of the coronavirus epidemic has led most governments</w:t>
      </w:r>
      <w:r w:rsidR="00FD5CEB">
        <w:rPr>
          <w:rFonts w:ascii="Arial Narrow" w:eastAsia="Calibri" w:hAnsi="Arial Narrow" w:cs="Arial"/>
          <w:lang w:eastAsia="en-US"/>
        </w:rPr>
        <w:t xml:space="preserve"> across the world</w:t>
      </w:r>
      <w:r w:rsidRPr="00B444A4">
        <w:rPr>
          <w:rFonts w:ascii="Arial Narrow" w:eastAsia="Calibri" w:hAnsi="Arial Narrow" w:cs="Arial"/>
          <w:lang w:eastAsia="en-US"/>
        </w:rPr>
        <w:t xml:space="preserve"> to </w:t>
      </w:r>
      <w:r w:rsidR="00FD5CEB">
        <w:rPr>
          <w:rFonts w:ascii="Arial Narrow" w:eastAsia="Calibri" w:hAnsi="Arial Narrow" w:cs="Arial"/>
          <w:lang w:eastAsia="en-US"/>
        </w:rPr>
        <w:t>implement</w:t>
      </w:r>
      <w:r w:rsidRPr="00B444A4">
        <w:rPr>
          <w:rFonts w:ascii="Arial Narrow" w:eastAsia="Calibri" w:hAnsi="Arial Narrow" w:cs="Arial"/>
          <w:lang w:eastAsia="en-US"/>
        </w:rPr>
        <w:t xml:space="preserve"> strict containment measures that have shut down entire </w:t>
      </w:r>
      <w:r w:rsidR="00142714">
        <w:rPr>
          <w:rFonts w:ascii="Arial Narrow" w:eastAsia="Calibri" w:hAnsi="Arial Narrow" w:cs="Arial"/>
          <w:lang w:eastAsia="en-US"/>
        </w:rPr>
        <w:t>sectors</w:t>
      </w:r>
      <w:r w:rsidRPr="00B444A4">
        <w:rPr>
          <w:rFonts w:ascii="Arial Narrow" w:eastAsia="Calibri" w:hAnsi="Arial Narrow" w:cs="Arial"/>
          <w:lang w:eastAsia="en-US"/>
        </w:rPr>
        <w:t xml:space="preserve"> of the global economy. Faced with the risk of mass bankruptcy, governments and central banks have announced large-scale support measures.</w:t>
      </w:r>
    </w:p>
    <w:p w14:paraId="72754A40" w14:textId="7199A05E" w:rsidR="00221EE0" w:rsidRDefault="00221EE0" w:rsidP="00221EE0">
      <w:pPr>
        <w:suppressAutoHyphens/>
        <w:spacing w:after="120"/>
        <w:rPr>
          <w:rFonts w:ascii="Arial Narrow" w:eastAsia="Calibri" w:hAnsi="Arial Narrow" w:cs="Arial"/>
          <w:lang w:eastAsia="en-US"/>
        </w:rPr>
      </w:pPr>
      <w:r w:rsidRPr="00B444A4">
        <w:rPr>
          <w:rFonts w:ascii="Arial Narrow" w:eastAsia="Calibri" w:hAnsi="Arial Narrow" w:cs="Arial"/>
          <w:lang w:eastAsia="en-US"/>
        </w:rPr>
        <w:t>Coface anticipates a decrease in global GDP of -1.3%, which should translate into a</w:t>
      </w:r>
      <w:r w:rsidR="00FD5CEB">
        <w:rPr>
          <w:rFonts w:ascii="Arial Narrow" w:eastAsia="Calibri" w:hAnsi="Arial Narrow" w:cs="Arial"/>
          <w:lang w:eastAsia="en-US"/>
        </w:rPr>
        <w:t xml:space="preserve"> +25%</w:t>
      </w:r>
      <w:r w:rsidRPr="00B444A4">
        <w:rPr>
          <w:rFonts w:ascii="Arial Narrow" w:eastAsia="Calibri" w:hAnsi="Arial Narrow" w:cs="Arial"/>
          <w:lang w:eastAsia="en-US"/>
        </w:rPr>
        <w:t xml:space="preserve"> increase in the number of global bankruptcies, with very strong disparities between countries and sectors.</w:t>
      </w:r>
      <w:r w:rsidR="00AA6DA9">
        <w:rPr>
          <w:rFonts w:ascii="Arial Narrow" w:eastAsia="Calibri" w:hAnsi="Arial Narrow" w:cs="Arial"/>
          <w:lang w:eastAsia="en-US"/>
        </w:rPr>
        <w:t xml:space="preserve"> Coface therefore anticipates a</w:t>
      </w:r>
      <w:r w:rsidRPr="00B444A4">
        <w:rPr>
          <w:rFonts w:ascii="Arial Narrow" w:eastAsia="Calibri" w:hAnsi="Arial Narrow" w:cs="Arial"/>
          <w:lang w:eastAsia="en-US"/>
        </w:rPr>
        <w:t xml:space="preserve"> </w:t>
      </w:r>
      <w:r w:rsidR="0072348D">
        <w:rPr>
          <w:rFonts w:ascii="Arial Narrow" w:eastAsia="Calibri" w:hAnsi="Arial Narrow" w:cs="Arial"/>
          <w:lang w:eastAsia="en-US"/>
        </w:rPr>
        <w:t xml:space="preserve">sharp </w:t>
      </w:r>
      <w:r w:rsidRPr="00B444A4">
        <w:rPr>
          <w:rFonts w:ascii="Arial Narrow" w:eastAsia="Calibri" w:hAnsi="Arial Narrow" w:cs="Arial"/>
          <w:lang w:eastAsia="en-US"/>
        </w:rPr>
        <w:t xml:space="preserve">increase in claims over the coming months, </w:t>
      </w:r>
      <w:r w:rsidR="006B3DA2">
        <w:rPr>
          <w:rFonts w:ascii="Arial Narrow" w:eastAsia="Calibri" w:hAnsi="Arial Narrow" w:cs="Arial"/>
          <w:lang w:eastAsia="en-US"/>
        </w:rPr>
        <w:t xml:space="preserve">a </w:t>
      </w:r>
      <w:r w:rsidRPr="00B444A4">
        <w:rPr>
          <w:rFonts w:ascii="Arial Narrow" w:eastAsia="Calibri" w:hAnsi="Arial Narrow" w:cs="Arial"/>
          <w:lang w:eastAsia="en-US"/>
        </w:rPr>
        <w:t>downwards pressure on its turnover</w:t>
      </w:r>
      <w:r w:rsidR="0072348D">
        <w:rPr>
          <w:rFonts w:ascii="Arial Narrow" w:eastAsia="Calibri" w:hAnsi="Arial Narrow" w:cs="Arial"/>
          <w:lang w:eastAsia="en-US"/>
        </w:rPr>
        <w:t xml:space="preserve"> </w:t>
      </w:r>
      <w:r w:rsidR="006B3DA2">
        <w:rPr>
          <w:rFonts w:ascii="Arial Narrow" w:eastAsia="Calibri" w:hAnsi="Arial Narrow" w:cs="Arial"/>
          <w:lang w:eastAsia="en-US"/>
        </w:rPr>
        <w:t>through</w:t>
      </w:r>
      <w:r w:rsidR="00AA6DA9">
        <w:rPr>
          <w:rFonts w:ascii="Arial Narrow" w:eastAsia="Calibri" w:hAnsi="Arial Narrow" w:cs="Arial"/>
          <w:lang w:eastAsia="en-US"/>
        </w:rPr>
        <w:t xml:space="preserve"> </w:t>
      </w:r>
      <w:r w:rsidR="006B3DA2">
        <w:rPr>
          <w:rFonts w:ascii="Arial Narrow" w:eastAsia="Calibri" w:hAnsi="Arial Narrow" w:cs="Arial"/>
          <w:lang w:eastAsia="en-US"/>
        </w:rPr>
        <w:t xml:space="preserve">lower </w:t>
      </w:r>
      <w:r w:rsidRPr="00B444A4">
        <w:rPr>
          <w:rFonts w:ascii="Arial Narrow" w:eastAsia="Calibri" w:hAnsi="Arial Narrow" w:cs="Arial"/>
          <w:lang w:eastAsia="en-US"/>
        </w:rPr>
        <w:t>activity of its clients</w:t>
      </w:r>
      <w:r w:rsidR="0072348D">
        <w:rPr>
          <w:rFonts w:ascii="Arial Narrow" w:eastAsia="Calibri" w:hAnsi="Arial Narrow" w:cs="Arial"/>
          <w:lang w:eastAsia="en-US"/>
        </w:rPr>
        <w:t xml:space="preserve">, </w:t>
      </w:r>
      <w:r w:rsidR="0072348D" w:rsidRPr="0072348D">
        <w:rPr>
          <w:rFonts w:ascii="Arial Narrow" w:eastAsia="Calibri" w:hAnsi="Arial Narrow" w:cs="Arial"/>
          <w:lang w:eastAsia="en-US"/>
        </w:rPr>
        <w:t xml:space="preserve">as well as a decline in its financial </w:t>
      </w:r>
      <w:r w:rsidR="0072348D">
        <w:rPr>
          <w:rFonts w:ascii="Arial Narrow" w:eastAsia="Calibri" w:hAnsi="Arial Narrow" w:cs="Arial"/>
          <w:lang w:eastAsia="en-US"/>
        </w:rPr>
        <w:t>income</w:t>
      </w:r>
      <w:r w:rsidR="0072348D" w:rsidRPr="0072348D">
        <w:rPr>
          <w:rFonts w:ascii="Arial Narrow" w:eastAsia="Calibri" w:hAnsi="Arial Narrow" w:cs="Arial"/>
          <w:lang w:eastAsia="en-US"/>
        </w:rPr>
        <w:t xml:space="preserve"> in very volatile markets</w:t>
      </w:r>
      <w:r w:rsidR="0072348D">
        <w:rPr>
          <w:rFonts w:ascii="Arial Narrow" w:eastAsia="Calibri" w:hAnsi="Arial Narrow" w:cs="Arial"/>
          <w:lang w:eastAsia="en-US"/>
        </w:rPr>
        <w:t>.</w:t>
      </w:r>
    </w:p>
    <w:p w14:paraId="50CAA144" w14:textId="26E8919B" w:rsidR="00FA5C1B" w:rsidRDefault="00FA5C1B" w:rsidP="00FA5C1B">
      <w:pPr>
        <w:suppressAutoHyphens/>
        <w:spacing w:after="120"/>
        <w:rPr>
          <w:rFonts w:ascii="Arial Narrow" w:eastAsia="Calibri" w:hAnsi="Arial Narrow" w:cs="Arial"/>
          <w:lang w:eastAsia="en-US"/>
        </w:rPr>
      </w:pPr>
      <w:r w:rsidRPr="00FA5C1B">
        <w:rPr>
          <w:rFonts w:ascii="Arial Narrow" w:eastAsia="Calibri" w:hAnsi="Arial Narrow" w:cs="Arial"/>
          <w:lang w:eastAsia="en-US"/>
        </w:rPr>
        <w:t xml:space="preserve">In April, Coface agreed to implement economic support schemes with the </w:t>
      </w:r>
      <w:r w:rsidR="00AA6DA9">
        <w:rPr>
          <w:rFonts w:ascii="Arial Narrow" w:eastAsia="Calibri" w:hAnsi="Arial Narrow" w:cs="Arial"/>
          <w:lang w:eastAsia="en-US"/>
        </w:rPr>
        <w:t>F</w:t>
      </w:r>
      <w:r w:rsidR="00AA6DA9" w:rsidRPr="00FA5C1B">
        <w:rPr>
          <w:rFonts w:ascii="Arial Narrow" w:eastAsia="Calibri" w:hAnsi="Arial Narrow" w:cs="Arial"/>
          <w:lang w:eastAsia="en-US"/>
        </w:rPr>
        <w:t>rench</w:t>
      </w:r>
      <w:r w:rsidRPr="00FA5C1B">
        <w:rPr>
          <w:rFonts w:ascii="Arial Narrow" w:eastAsia="Calibri" w:hAnsi="Arial Narrow" w:cs="Arial"/>
          <w:lang w:eastAsia="en-US"/>
        </w:rPr>
        <w:t xml:space="preserve"> and </w:t>
      </w:r>
      <w:r w:rsidR="00AA6DA9">
        <w:rPr>
          <w:rFonts w:ascii="Arial Narrow" w:eastAsia="Calibri" w:hAnsi="Arial Narrow" w:cs="Arial"/>
          <w:lang w:eastAsia="en-US"/>
        </w:rPr>
        <w:t>G</w:t>
      </w:r>
      <w:r w:rsidR="00AA6DA9" w:rsidRPr="00FA5C1B">
        <w:rPr>
          <w:rFonts w:ascii="Arial Narrow" w:eastAsia="Calibri" w:hAnsi="Arial Narrow" w:cs="Arial"/>
          <w:lang w:eastAsia="en-US"/>
        </w:rPr>
        <w:t>erman</w:t>
      </w:r>
      <w:r w:rsidRPr="00FA5C1B">
        <w:rPr>
          <w:rFonts w:ascii="Arial Narrow" w:eastAsia="Calibri" w:hAnsi="Arial Narrow" w:cs="Arial"/>
          <w:lang w:eastAsia="en-US"/>
        </w:rPr>
        <w:t xml:space="preserve"> governments. The impact of these agreements on the first-quarter financial statements </w:t>
      </w:r>
      <w:proofErr w:type="gramStart"/>
      <w:r w:rsidRPr="00FA5C1B">
        <w:rPr>
          <w:rFonts w:ascii="Arial Narrow" w:eastAsia="Calibri" w:hAnsi="Arial Narrow" w:cs="Arial"/>
          <w:lang w:eastAsia="en-US"/>
        </w:rPr>
        <w:t>is not considered</w:t>
      </w:r>
      <w:proofErr w:type="gramEnd"/>
      <w:r w:rsidRPr="00FA5C1B">
        <w:rPr>
          <w:rFonts w:ascii="Arial Narrow" w:eastAsia="Calibri" w:hAnsi="Arial Narrow" w:cs="Arial"/>
          <w:lang w:eastAsia="en-US"/>
        </w:rPr>
        <w:t xml:space="preserve"> material. The German scheme will result </w:t>
      </w:r>
      <w:r w:rsidR="006B3DA2">
        <w:rPr>
          <w:rFonts w:ascii="Arial Narrow" w:eastAsia="Calibri" w:hAnsi="Arial Narrow" w:cs="Arial"/>
          <w:lang w:eastAsia="en-US"/>
        </w:rPr>
        <w:t xml:space="preserve">for the year 2020 </w:t>
      </w:r>
      <w:r w:rsidRPr="00FA5C1B">
        <w:rPr>
          <w:rFonts w:ascii="Arial Narrow" w:eastAsia="Calibri" w:hAnsi="Arial Narrow" w:cs="Arial"/>
          <w:lang w:eastAsia="en-US"/>
        </w:rPr>
        <w:t>in the ceding of 65% of written premiums and 90% of claims recorded after 1 March</w:t>
      </w:r>
      <w:r w:rsidR="006B3DA2">
        <w:rPr>
          <w:rFonts w:ascii="Arial Narrow" w:eastAsia="Calibri" w:hAnsi="Arial Narrow" w:cs="Arial"/>
          <w:lang w:eastAsia="en-US"/>
        </w:rPr>
        <w:t xml:space="preserve"> and</w:t>
      </w:r>
      <w:r w:rsidR="00AA6DA9">
        <w:rPr>
          <w:rFonts w:ascii="Arial Narrow" w:eastAsia="Calibri" w:hAnsi="Arial Narrow" w:cs="Arial"/>
          <w:lang w:eastAsia="en-US"/>
        </w:rPr>
        <w:t xml:space="preserve"> </w:t>
      </w:r>
      <w:r w:rsidRPr="00FA5C1B">
        <w:rPr>
          <w:rFonts w:ascii="Arial Narrow" w:eastAsia="Calibri" w:hAnsi="Arial Narrow" w:cs="Arial"/>
          <w:lang w:eastAsia="en-US"/>
        </w:rPr>
        <w:t>relating to deliveries made in 2020. This will significantly affect Coface's profitability, without it being possible at this stage to determine the impact, given the high level of uncertainty concerning the amount of claims recorded.</w:t>
      </w:r>
    </w:p>
    <w:p w14:paraId="044AF8AC" w14:textId="4BE0E6B0" w:rsidR="00FA5C1B" w:rsidRPr="00FA5C1B" w:rsidRDefault="006B3DA2" w:rsidP="00FA5C1B">
      <w:pPr>
        <w:suppressAutoHyphens/>
        <w:spacing w:after="120"/>
        <w:rPr>
          <w:rFonts w:ascii="Arial Narrow" w:eastAsia="Calibri" w:hAnsi="Arial Narrow" w:cs="Arial"/>
          <w:lang w:eastAsia="en-US"/>
        </w:rPr>
      </w:pPr>
      <w:r>
        <w:rPr>
          <w:rFonts w:ascii="Arial Narrow" w:eastAsia="Calibri" w:hAnsi="Arial Narrow" w:cs="Arial"/>
          <w:lang w:eastAsia="en-US"/>
        </w:rPr>
        <w:t xml:space="preserve">The French agreement allows, when the credit insurer has decided to reduce or to cancel a limit, to propose to the credit insurer’s client an alternative </w:t>
      </w:r>
      <w:r w:rsidR="00FA5C1B" w:rsidRPr="00FA5C1B">
        <w:rPr>
          <w:rFonts w:ascii="Arial Narrow" w:eastAsia="Calibri" w:hAnsi="Arial Narrow" w:cs="Arial"/>
          <w:lang w:eastAsia="en-US"/>
        </w:rPr>
        <w:t>guarantee</w:t>
      </w:r>
      <w:r>
        <w:rPr>
          <w:rFonts w:ascii="Arial Narrow" w:eastAsia="Calibri" w:hAnsi="Arial Narrow" w:cs="Arial"/>
          <w:lang w:eastAsia="en-US"/>
        </w:rPr>
        <w:t>,</w:t>
      </w:r>
      <w:r w:rsidR="00FA5C1B" w:rsidRPr="00FA5C1B">
        <w:rPr>
          <w:rFonts w:ascii="Arial Narrow" w:eastAsia="Calibri" w:hAnsi="Arial Narrow" w:cs="Arial"/>
          <w:lang w:eastAsia="en-US"/>
        </w:rPr>
        <w:t xml:space="preserve"> managed by Coface but reinsured by CCR or BPI France in accordance with the schemes adopted. As this agreement is not retroactive, it has no impact on the first-quarter financial statements. Similarly, due to its nature, it transfers risks directly to reinsurers and will therefore have only a limited impact on Coface's financial statements.</w:t>
      </w:r>
    </w:p>
    <w:p w14:paraId="39C00B98" w14:textId="127A9ED0" w:rsidR="00BD4D1B" w:rsidRPr="00B30555" w:rsidRDefault="00E716E4" w:rsidP="00BD4D1B">
      <w:pPr>
        <w:suppressAutoHyphens/>
        <w:spacing w:after="0" w:line="240" w:lineRule="auto"/>
        <w:rPr>
          <w:rFonts w:ascii="Arial Narrow" w:eastAsia="Calibri" w:hAnsi="Arial Narrow" w:cs="Arial"/>
          <w:bCs/>
          <w:lang w:val="en-GB" w:eastAsia="en-US"/>
        </w:rPr>
      </w:pPr>
      <w:r w:rsidRPr="00E716E4">
        <w:rPr>
          <w:rFonts w:ascii="Arial Narrow" w:eastAsia="Calibri" w:hAnsi="Arial Narrow" w:cs="Arial"/>
          <w:lang w:eastAsia="en-US"/>
        </w:rPr>
        <w:t>Coface anticipates a significant increase in claims declarations from the second quarter of 2020, which will have an impact on its results, the extent of which will depend on the remaining duration of the containment, the speed of the economic recovery and the effectiveness of government measures.</w:t>
      </w:r>
    </w:p>
    <w:p w14:paraId="178994F9" w14:textId="77777777" w:rsidR="006F4B40" w:rsidRPr="00B30555" w:rsidRDefault="006F4B40" w:rsidP="00BD4D1B">
      <w:pPr>
        <w:suppressAutoHyphens/>
        <w:spacing w:after="0" w:line="240" w:lineRule="auto"/>
        <w:rPr>
          <w:rFonts w:ascii="Arial Narrow" w:eastAsia="Calibri" w:hAnsi="Arial Narrow" w:cs="Arial"/>
          <w:bCs/>
          <w:lang w:val="en-GB" w:eastAsia="en-US"/>
        </w:rPr>
      </w:pPr>
    </w:p>
    <w:p w14:paraId="1424C444" w14:textId="77777777" w:rsidR="00BD4D1B" w:rsidRPr="00B30555" w:rsidRDefault="00BD4D1B" w:rsidP="00BD4D1B">
      <w:pPr>
        <w:spacing w:after="0" w:line="240" w:lineRule="auto"/>
        <w:rPr>
          <w:rFonts w:ascii="Arial Narrow" w:hAnsi="Arial Narrow" w:cs="Arial"/>
          <w:lang w:val="en-GB" w:eastAsia="fr-FR"/>
        </w:rPr>
      </w:pPr>
    </w:p>
    <w:p w14:paraId="618A13D5" w14:textId="77777777" w:rsidR="00BD4D1B" w:rsidRDefault="00BD4D1B" w:rsidP="00BD4D1B">
      <w:pPr>
        <w:tabs>
          <w:tab w:val="left" w:pos="4090"/>
        </w:tabs>
        <w:suppressAutoHyphens/>
        <w:spacing w:after="0" w:line="240" w:lineRule="auto"/>
        <w:ind w:right="-121"/>
        <w:rPr>
          <w:rFonts w:ascii="Arial Narrow" w:hAnsi="Arial Narrow" w:cs="Arial"/>
          <w:b/>
          <w:bCs/>
          <w:lang w:val="en-GB"/>
        </w:rPr>
      </w:pPr>
    </w:p>
    <w:p w14:paraId="0927B5E3" w14:textId="77777777" w:rsidR="00221EE0" w:rsidRDefault="00221EE0" w:rsidP="00BD4D1B">
      <w:pPr>
        <w:tabs>
          <w:tab w:val="left" w:pos="4090"/>
        </w:tabs>
        <w:suppressAutoHyphens/>
        <w:spacing w:after="0" w:line="240" w:lineRule="auto"/>
        <w:ind w:right="-121"/>
        <w:rPr>
          <w:rFonts w:ascii="Arial Narrow" w:hAnsi="Arial Narrow" w:cs="Arial"/>
          <w:b/>
          <w:bCs/>
          <w:lang w:val="en-GB"/>
        </w:rPr>
      </w:pPr>
    </w:p>
    <w:p w14:paraId="3E1BC2DA" w14:textId="77777777" w:rsidR="00221EE0" w:rsidRDefault="00221EE0" w:rsidP="00BD4D1B">
      <w:pPr>
        <w:tabs>
          <w:tab w:val="left" w:pos="4090"/>
        </w:tabs>
        <w:suppressAutoHyphens/>
        <w:spacing w:after="0" w:line="240" w:lineRule="auto"/>
        <w:ind w:right="-121"/>
        <w:rPr>
          <w:rFonts w:ascii="Arial Narrow" w:hAnsi="Arial Narrow" w:cs="Arial"/>
          <w:b/>
          <w:bCs/>
          <w:lang w:val="en-GB"/>
        </w:rPr>
      </w:pPr>
    </w:p>
    <w:p w14:paraId="4A0EF717" w14:textId="77777777" w:rsidR="00221EE0" w:rsidRDefault="00221EE0" w:rsidP="00BD4D1B">
      <w:pPr>
        <w:tabs>
          <w:tab w:val="left" w:pos="4090"/>
        </w:tabs>
        <w:suppressAutoHyphens/>
        <w:spacing w:after="0" w:line="240" w:lineRule="auto"/>
        <w:ind w:right="-121"/>
        <w:rPr>
          <w:rFonts w:ascii="Arial Narrow" w:hAnsi="Arial Narrow" w:cs="Arial"/>
          <w:b/>
          <w:bCs/>
          <w:lang w:val="en-GB"/>
        </w:rPr>
      </w:pPr>
    </w:p>
    <w:p w14:paraId="174EF842" w14:textId="4CB908F3" w:rsidR="00BD4D1B" w:rsidRPr="00B30555" w:rsidRDefault="00BD4D1B" w:rsidP="00BD4D1B">
      <w:pPr>
        <w:spacing w:after="0" w:line="240" w:lineRule="auto"/>
        <w:rPr>
          <w:rFonts w:ascii="Arial Narrow" w:hAnsi="Arial Narrow" w:cs="Arial"/>
          <w:b/>
          <w:lang w:val="en-GB" w:eastAsia="fr-FR"/>
        </w:rPr>
      </w:pPr>
      <w:r w:rsidRPr="00B30555">
        <w:rPr>
          <w:rFonts w:ascii="Arial Narrow" w:hAnsi="Arial Narrow" w:cs="Arial"/>
          <w:b/>
          <w:lang w:val="en-GB" w:eastAsia="fr-FR"/>
        </w:rPr>
        <w:t>Conference call for financial analysts</w:t>
      </w:r>
    </w:p>
    <w:p w14:paraId="4B96AFC0" w14:textId="77777777" w:rsidR="00BD4D1B" w:rsidRPr="00B30555" w:rsidRDefault="00BD4D1B" w:rsidP="00BD4D1B">
      <w:pPr>
        <w:autoSpaceDE w:val="0"/>
        <w:autoSpaceDN w:val="0"/>
        <w:adjustRightInd w:val="0"/>
        <w:spacing w:after="0" w:line="240" w:lineRule="auto"/>
        <w:rPr>
          <w:rFonts w:ascii="Arial Narrow" w:hAnsi="Arial Narrow" w:cs="Arial"/>
          <w:lang w:val="en-GB" w:eastAsia="en-US"/>
        </w:rPr>
      </w:pPr>
    </w:p>
    <w:p w14:paraId="6EE1464B" w14:textId="77777777" w:rsidR="00BD4D1B" w:rsidRPr="00B30555" w:rsidRDefault="00BD4D1B" w:rsidP="00BD4D1B">
      <w:pPr>
        <w:autoSpaceDE w:val="0"/>
        <w:autoSpaceDN w:val="0"/>
        <w:adjustRightInd w:val="0"/>
        <w:spacing w:after="0" w:line="240" w:lineRule="auto"/>
        <w:rPr>
          <w:rFonts w:ascii="Arial Narrow" w:hAnsi="Arial Narrow" w:cs="Arial"/>
          <w:lang w:val="en-GB" w:eastAsia="en-US"/>
        </w:rPr>
      </w:pPr>
      <w:r w:rsidRPr="00B30555">
        <w:rPr>
          <w:rFonts w:ascii="Arial Narrow" w:hAnsi="Arial Narrow" w:cs="Arial"/>
          <w:lang w:val="en-GB" w:eastAsia="en-US"/>
        </w:rPr>
        <w:t xml:space="preserve">Coface’s </w:t>
      </w:r>
      <w:r w:rsidR="009113BD">
        <w:rPr>
          <w:rFonts w:ascii="Arial Narrow" w:hAnsi="Arial Narrow" w:cs="Arial"/>
          <w:lang w:val="en-GB" w:eastAsia="en-US"/>
        </w:rPr>
        <w:t>Q1-2020</w:t>
      </w:r>
      <w:r w:rsidR="00B01E14" w:rsidRPr="00B30555">
        <w:rPr>
          <w:rFonts w:ascii="Arial Narrow" w:hAnsi="Arial Narrow" w:cs="Arial"/>
          <w:lang w:val="en-GB" w:eastAsia="en-US"/>
        </w:rPr>
        <w:t xml:space="preserve"> </w:t>
      </w:r>
      <w:r w:rsidRPr="00B30555">
        <w:rPr>
          <w:rFonts w:ascii="Arial Narrow" w:hAnsi="Arial Narrow" w:cs="Arial"/>
          <w:lang w:val="en-GB" w:eastAsia="en-US"/>
        </w:rPr>
        <w:t xml:space="preserve">results </w:t>
      </w:r>
      <w:proofErr w:type="gramStart"/>
      <w:r w:rsidRPr="00B30555">
        <w:rPr>
          <w:rFonts w:ascii="Arial Narrow" w:hAnsi="Arial Narrow" w:cs="Arial"/>
          <w:lang w:val="en-GB" w:eastAsia="en-US"/>
        </w:rPr>
        <w:t>will be discussed</w:t>
      </w:r>
      <w:proofErr w:type="gramEnd"/>
      <w:r w:rsidRPr="00B30555">
        <w:rPr>
          <w:rFonts w:ascii="Arial Narrow" w:hAnsi="Arial Narrow" w:cs="Arial"/>
          <w:lang w:val="en-GB" w:eastAsia="en-US"/>
        </w:rPr>
        <w:t xml:space="preserve"> with financial analysts during the conference call on </w:t>
      </w:r>
      <w:r w:rsidR="009113BD">
        <w:rPr>
          <w:rFonts w:ascii="Arial Narrow" w:hAnsi="Arial Narrow" w:cs="Arial"/>
          <w:lang w:val="en-GB" w:eastAsia="en-US"/>
        </w:rPr>
        <w:t>23 April 2020</w:t>
      </w:r>
      <w:r w:rsidRPr="00B30555">
        <w:rPr>
          <w:rFonts w:ascii="Arial Narrow" w:hAnsi="Arial Narrow" w:cs="Arial"/>
          <w:lang w:val="en-GB" w:eastAsia="en-US"/>
        </w:rPr>
        <w:t xml:space="preserve"> at 18.00 (Paris time).</w:t>
      </w:r>
      <w:r w:rsidRPr="00B30555">
        <w:rPr>
          <w:rFonts w:ascii="Arial Narrow" w:hAnsi="Arial Narrow" w:cs="Arial"/>
          <w:color w:val="FF0000"/>
          <w:lang w:val="en-GB" w:eastAsia="en-US"/>
        </w:rPr>
        <w:t xml:space="preserve"> </w:t>
      </w:r>
      <w:r w:rsidRPr="00B30555">
        <w:rPr>
          <w:rFonts w:ascii="Arial Narrow" w:hAnsi="Arial Narrow" w:cs="Arial"/>
          <w:lang w:val="en-GB" w:eastAsia="en-US"/>
        </w:rPr>
        <w:t>Dial one of the following numbers:</w:t>
      </w:r>
    </w:p>
    <w:p w14:paraId="53529A84" w14:textId="77777777" w:rsidR="00BD4D1B" w:rsidRPr="00B30555" w:rsidRDefault="00BD4D1B" w:rsidP="00BD4D1B">
      <w:pPr>
        <w:pStyle w:val="Paragraphedeliste"/>
        <w:numPr>
          <w:ilvl w:val="0"/>
          <w:numId w:val="30"/>
        </w:numPr>
        <w:autoSpaceDE w:val="0"/>
        <w:autoSpaceDN w:val="0"/>
        <w:adjustRightInd w:val="0"/>
        <w:spacing w:after="0" w:line="240" w:lineRule="auto"/>
        <w:rPr>
          <w:rFonts w:ascii="Arial Narrow" w:hAnsi="Arial Narrow" w:cs="Arial"/>
          <w:lang w:val="en-GB" w:eastAsia="en-US"/>
        </w:rPr>
      </w:pPr>
      <w:r w:rsidRPr="00B30555">
        <w:rPr>
          <w:rFonts w:ascii="Arial Narrow" w:hAnsi="Arial Narrow" w:cs="Arial"/>
          <w:lang w:val="en-GB" w:eastAsia="en-US"/>
        </w:rPr>
        <w:t>+33 1 72 72 74 03 (France)</w:t>
      </w:r>
    </w:p>
    <w:p w14:paraId="22FE89C1" w14:textId="77777777" w:rsidR="00BD4D1B" w:rsidRPr="00B30555" w:rsidRDefault="00BD4D1B" w:rsidP="00BD4D1B">
      <w:pPr>
        <w:pStyle w:val="Paragraphedeliste"/>
        <w:numPr>
          <w:ilvl w:val="0"/>
          <w:numId w:val="30"/>
        </w:numPr>
        <w:autoSpaceDE w:val="0"/>
        <w:autoSpaceDN w:val="0"/>
        <w:adjustRightInd w:val="0"/>
        <w:spacing w:after="0" w:line="240" w:lineRule="auto"/>
        <w:rPr>
          <w:rFonts w:ascii="Arial Narrow" w:hAnsi="Arial Narrow" w:cs="Arial"/>
          <w:lang w:val="en-GB" w:eastAsia="en-US"/>
        </w:rPr>
      </w:pPr>
      <w:r w:rsidRPr="00B30555">
        <w:rPr>
          <w:rFonts w:ascii="Arial Narrow" w:hAnsi="Arial Narrow" w:cs="Arial"/>
          <w:lang w:val="en-GB" w:eastAsia="en-US"/>
        </w:rPr>
        <w:t>+44 207 1943 759 (United Kingdom)</w:t>
      </w:r>
    </w:p>
    <w:p w14:paraId="19F775C0" w14:textId="77777777" w:rsidR="00BD4D1B" w:rsidRPr="00B30555" w:rsidRDefault="00BD4D1B" w:rsidP="00BD4D1B">
      <w:pPr>
        <w:pStyle w:val="Paragraphedeliste"/>
        <w:numPr>
          <w:ilvl w:val="0"/>
          <w:numId w:val="30"/>
        </w:numPr>
        <w:autoSpaceDE w:val="0"/>
        <w:autoSpaceDN w:val="0"/>
        <w:adjustRightInd w:val="0"/>
        <w:spacing w:after="0" w:line="240" w:lineRule="auto"/>
        <w:rPr>
          <w:rFonts w:ascii="Arial Narrow" w:hAnsi="Arial Narrow" w:cs="Arial"/>
          <w:lang w:val="en-GB" w:eastAsia="en-US"/>
        </w:rPr>
      </w:pPr>
      <w:r w:rsidRPr="00B30555">
        <w:rPr>
          <w:rFonts w:ascii="Arial Narrow" w:hAnsi="Arial Narrow" w:cs="Arial"/>
          <w:lang w:val="en-GB" w:eastAsia="en-US"/>
        </w:rPr>
        <w:t>+1 646 722 4916 (United States)</w:t>
      </w:r>
    </w:p>
    <w:p w14:paraId="456D08E9" w14:textId="77777777" w:rsidR="00BD4D1B" w:rsidRPr="00B30555" w:rsidRDefault="00BD4D1B" w:rsidP="00BD4D1B">
      <w:pPr>
        <w:autoSpaceDE w:val="0"/>
        <w:autoSpaceDN w:val="0"/>
        <w:adjustRightInd w:val="0"/>
        <w:spacing w:after="0" w:line="240" w:lineRule="auto"/>
        <w:rPr>
          <w:rFonts w:ascii="Arial Narrow" w:hAnsi="Arial Narrow" w:cs="Arial"/>
          <w:lang w:val="en-GB" w:eastAsia="en-US"/>
        </w:rPr>
      </w:pPr>
    </w:p>
    <w:p w14:paraId="02FBBB66" w14:textId="428FBC91" w:rsidR="00BD4D1B" w:rsidRDefault="00BD4D1B" w:rsidP="00BD4D1B">
      <w:pPr>
        <w:autoSpaceDE w:val="0"/>
        <w:autoSpaceDN w:val="0"/>
        <w:adjustRightInd w:val="0"/>
        <w:spacing w:after="0" w:line="240" w:lineRule="auto"/>
        <w:rPr>
          <w:rFonts w:ascii="Arial Narrow" w:hAnsi="Arial Narrow" w:cs="Arial"/>
          <w:b/>
          <w:lang w:val="en-GB" w:eastAsia="en-US"/>
        </w:rPr>
      </w:pPr>
      <w:r w:rsidRPr="00B30555">
        <w:rPr>
          <w:rFonts w:ascii="Arial Narrow" w:hAnsi="Arial Narrow" w:cs="Arial"/>
          <w:lang w:val="en-GB" w:eastAsia="en-US"/>
        </w:rPr>
        <w:t xml:space="preserve">The access code for participants </w:t>
      </w:r>
      <w:proofErr w:type="gramStart"/>
      <w:r w:rsidRPr="00B30555">
        <w:rPr>
          <w:rFonts w:ascii="Arial Narrow" w:hAnsi="Arial Narrow" w:cs="Arial"/>
          <w:lang w:val="en-GB" w:eastAsia="en-US"/>
        </w:rPr>
        <w:t>is</w:t>
      </w:r>
      <w:r w:rsidR="00FD5CEB">
        <w:rPr>
          <w:rFonts w:ascii="Arial Narrow" w:hAnsi="Arial Narrow" w:cs="Arial"/>
          <w:lang w:val="en-GB" w:eastAsia="en-US"/>
        </w:rPr>
        <w:t>:</w:t>
      </w:r>
      <w:proofErr w:type="gramEnd"/>
      <w:r w:rsidR="00FD5CEB">
        <w:rPr>
          <w:rFonts w:ascii="Arial Narrow" w:hAnsi="Arial Narrow" w:cs="Arial"/>
          <w:lang w:val="en-GB" w:eastAsia="en-US"/>
        </w:rPr>
        <w:t xml:space="preserve"> </w:t>
      </w:r>
      <w:r w:rsidR="009113BD" w:rsidRPr="009113BD">
        <w:rPr>
          <w:rFonts w:ascii="Arial Narrow" w:hAnsi="Arial Narrow" w:cs="Arial"/>
          <w:b/>
          <w:lang w:val="en-GB" w:eastAsia="en-US"/>
        </w:rPr>
        <w:t>25896765#</w:t>
      </w:r>
    </w:p>
    <w:p w14:paraId="0E50E8FC" w14:textId="77777777" w:rsidR="00BD4D1B" w:rsidRPr="00B30555" w:rsidRDefault="00BD4D1B" w:rsidP="00BD4D1B">
      <w:pPr>
        <w:autoSpaceDE w:val="0"/>
        <w:autoSpaceDN w:val="0"/>
        <w:adjustRightInd w:val="0"/>
        <w:spacing w:after="0" w:line="240" w:lineRule="auto"/>
        <w:rPr>
          <w:rFonts w:ascii="Arial Narrow" w:hAnsi="Arial Narrow" w:cs="Arial"/>
          <w:lang w:val="en-GB" w:eastAsia="en-US"/>
        </w:rPr>
      </w:pPr>
    </w:p>
    <w:p w14:paraId="5106D67A" w14:textId="77777777" w:rsidR="00BD4D1B" w:rsidRPr="00B30555" w:rsidRDefault="00BD4D1B" w:rsidP="00BD4D1B">
      <w:pPr>
        <w:autoSpaceDE w:val="0"/>
        <w:autoSpaceDN w:val="0"/>
        <w:adjustRightInd w:val="0"/>
        <w:spacing w:after="0" w:line="240" w:lineRule="auto"/>
        <w:rPr>
          <w:rFonts w:ascii="Arial Narrow" w:hAnsi="Arial Narrow" w:cs="Arial"/>
          <w:lang w:val="en-GB" w:eastAsia="en-US"/>
        </w:rPr>
      </w:pPr>
      <w:r w:rsidRPr="00B30555">
        <w:rPr>
          <w:rFonts w:ascii="Arial Narrow" w:hAnsi="Arial Narrow" w:cs="Arial"/>
          <w:lang w:val="en-GB" w:eastAsia="en-US"/>
        </w:rPr>
        <w:t xml:space="preserve">The presentation will be available (in English only) at the following address: </w:t>
      </w:r>
    </w:p>
    <w:p w14:paraId="0E5EE961" w14:textId="77777777" w:rsidR="00BD4D1B" w:rsidRPr="00B30555" w:rsidRDefault="00A50BFF" w:rsidP="00BD4D1B">
      <w:pPr>
        <w:spacing w:after="0" w:line="240" w:lineRule="auto"/>
        <w:rPr>
          <w:rFonts w:ascii="Arial Narrow" w:hAnsi="Arial Narrow"/>
          <w:lang w:val="en-GB"/>
        </w:rPr>
      </w:pPr>
      <w:hyperlink r:id="rId8" w:history="1">
        <w:r w:rsidR="00BD4D1B" w:rsidRPr="00B30555">
          <w:rPr>
            <w:rStyle w:val="Lienhypertexte"/>
            <w:rFonts w:ascii="Arial Narrow" w:hAnsi="Arial Narrow" w:cs="Cambria"/>
          </w:rPr>
          <w:t>http://www.coface.com/Investors/financial-results-and-reports</w:t>
        </w:r>
      </w:hyperlink>
      <w:r w:rsidR="00BD4D1B" w:rsidRPr="00B30555">
        <w:rPr>
          <w:rFonts w:ascii="Arial Narrow" w:hAnsi="Arial Narrow"/>
          <w:u w:val="single"/>
          <w:lang w:val="en-GB"/>
        </w:rPr>
        <w:t xml:space="preserve"> </w:t>
      </w:r>
    </w:p>
    <w:p w14:paraId="313CB29E" w14:textId="77777777" w:rsidR="00BD4D1B" w:rsidRPr="00B30555" w:rsidRDefault="00BD4D1B" w:rsidP="00BD4D1B">
      <w:pPr>
        <w:spacing w:after="0" w:line="240" w:lineRule="auto"/>
        <w:rPr>
          <w:rFonts w:ascii="Arial Narrow" w:hAnsi="Arial Narrow" w:cs="Arial"/>
          <w:b/>
          <w:bCs/>
          <w:lang w:val="en-GB"/>
        </w:rPr>
      </w:pPr>
      <w:r w:rsidRPr="00B30555">
        <w:rPr>
          <w:rFonts w:ascii="Arial Narrow" w:hAnsi="Arial Narrow" w:cs="Arial"/>
          <w:b/>
          <w:bCs/>
          <w:color w:val="FF0000"/>
          <w:lang w:val="en-GB"/>
        </w:rPr>
        <w:br w:type="page"/>
      </w:r>
    </w:p>
    <w:p w14:paraId="009D2D58" w14:textId="77777777" w:rsidR="00BD4D1B" w:rsidRPr="00B30555" w:rsidRDefault="00BD4D1B" w:rsidP="00BD4D1B">
      <w:pPr>
        <w:spacing w:after="0" w:line="240" w:lineRule="auto"/>
        <w:rPr>
          <w:rFonts w:ascii="Arial Narrow" w:hAnsi="Arial Narrow" w:cs="Arial"/>
          <w:b/>
          <w:bCs/>
          <w:lang w:val="en-GB"/>
        </w:rPr>
      </w:pPr>
    </w:p>
    <w:p w14:paraId="28E1498F" w14:textId="77777777" w:rsidR="00BD4D1B" w:rsidRPr="00B30555" w:rsidRDefault="00BD4D1B" w:rsidP="00BD4D1B">
      <w:pPr>
        <w:spacing w:after="0" w:line="240" w:lineRule="auto"/>
        <w:jc w:val="center"/>
        <w:rPr>
          <w:rFonts w:ascii="Arial Narrow" w:hAnsi="Arial Narrow" w:cs="Arial"/>
          <w:b/>
          <w:bCs/>
          <w:u w:val="single"/>
          <w:lang w:val="en-GB"/>
        </w:rPr>
      </w:pPr>
      <w:r w:rsidRPr="00B30555">
        <w:rPr>
          <w:rFonts w:ascii="Arial Narrow" w:hAnsi="Arial Narrow" w:cs="Arial"/>
          <w:b/>
          <w:bCs/>
          <w:u w:val="single"/>
          <w:lang w:val="en-GB"/>
        </w:rPr>
        <w:t>Appendix</w:t>
      </w:r>
    </w:p>
    <w:p w14:paraId="65CFBC74" w14:textId="77777777" w:rsidR="00BD4D1B" w:rsidRPr="00B30555" w:rsidRDefault="00BD4D1B" w:rsidP="00BD4D1B">
      <w:pPr>
        <w:spacing w:after="0" w:line="240" w:lineRule="auto"/>
        <w:jc w:val="center"/>
        <w:rPr>
          <w:rFonts w:ascii="Arial Narrow" w:hAnsi="Arial Narrow" w:cs="Arial"/>
          <w:b/>
          <w:bCs/>
          <w:u w:val="single"/>
          <w:lang w:val="en-GB"/>
        </w:rPr>
      </w:pPr>
    </w:p>
    <w:p w14:paraId="6D7D9ABF" w14:textId="77777777" w:rsidR="00BD4D1B" w:rsidRPr="00B30555" w:rsidRDefault="00BD4D1B" w:rsidP="00BD4D1B">
      <w:pPr>
        <w:spacing w:after="0" w:line="240" w:lineRule="auto"/>
        <w:rPr>
          <w:rFonts w:ascii="Arial Narrow" w:hAnsi="Arial Narrow" w:cs="Arial"/>
          <w:bCs/>
          <w:u w:val="single"/>
          <w:lang w:val="en-GB"/>
        </w:rPr>
      </w:pPr>
      <w:r w:rsidRPr="00B30555">
        <w:rPr>
          <w:rFonts w:ascii="Arial Narrow" w:hAnsi="Arial Narrow" w:cs="Arial"/>
          <w:bCs/>
          <w:u w:val="single"/>
          <w:lang w:val="en-GB"/>
        </w:rPr>
        <w:t>Quarterly results</w:t>
      </w:r>
    </w:p>
    <w:p w14:paraId="06A6896D" w14:textId="77777777" w:rsidR="00BD4D1B" w:rsidRPr="00B30555" w:rsidRDefault="00BD4D1B" w:rsidP="00BD4D1B">
      <w:pPr>
        <w:spacing w:after="0" w:line="240" w:lineRule="auto"/>
        <w:rPr>
          <w:rFonts w:ascii="Arial Narrow" w:hAnsi="Arial Narrow" w:cs="Arial"/>
          <w:bCs/>
          <w:u w:val="single"/>
          <w:lang w:val="en-GB"/>
        </w:rPr>
      </w:pPr>
    </w:p>
    <w:tbl>
      <w:tblPr>
        <w:tblW w:w="10206" w:type="dxa"/>
        <w:jc w:val="center"/>
        <w:tblLook w:val="04A0" w:firstRow="1" w:lastRow="0" w:firstColumn="1" w:lastColumn="0" w:noHBand="0" w:noVBand="1"/>
      </w:tblPr>
      <w:tblGrid>
        <w:gridCol w:w="4678"/>
        <w:gridCol w:w="627"/>
        <w:gridCol w:w="716"/>
        <w:gridCol w:w="716"/>
        <w:gridCol w:w="716"/>
        <w:gridCol w:w="716"/>
        <w:gridCol w:w="296"/>
        <w:gridCol w:w="882"/>
        <w:gridCol w:w="859"/>
      </w:tblGrid>
      <w:tr w:rsidR="00200B38" w:rsidRPr="00200B38" w14:paraId="2E7F956C" w14:textId="77777777" w:rsidTr="00200B38">
        <w:trPr>
          <w:trHeight w:val="300"/>
          <w:jc w:val="center"/>
        </w:trPr>
        <w:tc>
          <w:tcPr>
            <w:tcW w:w="4678" w:type="dxa"/>
            <w:tcBorders>
              <w:top w:val="nil"/>
              <w:left w:val="nil"/>
              <w:bottom w:val="nil"/>
              <w:right w:val="nil"/>
            </w:tcBorders>
            <w:shd w:val="clear" w:color="000000" w:fill="03365F"/>
            <w:vAlign w:val="center"/>
            <w:hideMark/>
          </w:tcPr>
          <w:p w14:paraId="538EE7A7" w14:textId="77777777" w:rsidR="00200B38" w:rsidRPr="00200B38" w:rsidRDefault="00200B38" w:rsidP="00200B38">
            <w:pPr>
              <w:spacing w:after="0" w:line="240" w:lineRule="auto"/>
              <w:jc w:val="lef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Income statements items in €m - quarterly figures</w:t>
            </w:r>
          </w:p>
        </w:tc>
        <w:tc>
          <w:tcPr>
            <w:tcW w:w="627" w:type="dxa"/>
            <w:tcBorders>
              <w:top w:val="nil"/>
              <w:left w:val="nil"/>
              <w:bottom w:val="nil"/>
              <w:right w:val="nil"/>
            </w:tcBorders>
            <w:shd w:val="clear" w:color="000000" w:fill="03365F"/>
            <w:noWrap/>
            <w:vAlign w:val="center"/>
            <w:hideMark/>
          </w:tcPr>
          <w:p w14:paraId="2C59E01D"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Q1-19</w:t>
            </w:r>
          </w:p>
        </w:tc>
        <w:tc>
          <w:tcPr>
            <w:tcW w:w="716" w:type="dxa"/>
            <w:tcBorders>
              <w:top w:val="nil"/>
              <w:left w:val="nil"/>
              <w:bottom w:val="nil"/>
              <w:right w:val="nil"/>
            </w:tcBorders>
            <w:shd w:val="clear" w:color="000000" w:fill="03365F"/>
            <w:noWrap/>
            <w:vAlign w:val="center"/>
            <w:hideMark/>
          </w:tcPr>
          <w:p w14:paraId="0EF78856"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Q2-19</w:t>
            </w:r>
          </w:p>
        </w:tc>
        <w:tc>
          <w:tcPr>
            <w:tcW w:w="716" w:type="dxa"/>
            <w:tcBorders>
              <w:top w:val="nil"/>
              <w:left w:val="nil"/>
              <w:bottom w:val="nil"/>
              <w:right w:val="nil"/>
            </w:tcBorders>
            <w:shd w:val="clear" w:color="000000" w:fill="03365F"/>
            <w:noWrap/>
            <w:vAlign w:val="center"/>
            <w:hideMark/>
          </w:tcPr>
          <w:p w14:paraId="49360FE0"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Q3-19</w:t>
            </w:r>
          </w:p>
        </w:tc>
        <w:tc>
          <w:tcPr>
            <w:tcW w:w="716" w:type="dxa"/>
            <w:tcBorders>
              <w:top w:val="nil"/>
              <w:left w:val="nil"/>
              <w:bottom w:val="nil"/>
              <w:right w:val="nil"/>
            </w:tcBorders>
            <w:shd w:val="clear" w:color="000000" w:fill="03365F"/>
            <w:noWrap/>
            <w:vAlign w:val="center"/>
            <w:hideMark/>
          </w:tcPr>
          <w:p w14:paraId="3A0BECE7"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Q4-19</w:t>
            </w:r>
          </w:p>
        </w:tc>
        <w:tc>
          <w:tcPr>
            <w:tcW w:w="716" w:type="dxa"/>
            <w:tcBorders>
              <w:top w:val="nil"/>
              <w:left w:val="nil"/>
              <w:bottom w:val="nil"/>
              <w:right w:val="nil"/>
            </w:tcBorders>
            <w:shd w:val="clear" w:color="000000" w:fill="18B3B9"/>
            <w:noWrap/>
            <w:vAlign w:val="center"/>
            <w:hideMark/>
          </w:tcPr>
          <w:p w14:paraId="768C1C4D"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Q1-20</w:t>
            </w:r>
          </w:p>
        </w:tc>
        <w:tc>
          <w:tcPr>
            <w:tcW w:w="296" w:type="dxa"/>
            <w:tcBorders>
              <w:top w:val="nil"/>
              <w:left w:val="nil"/>
              <w:bottom w:val="nil"/>
              <w:right w:val="nil"/>
            </w:tcBorders>
            <w:shd w:val="clear" w:color="auto" w:fill="auto"/>
            <w:noWrap/>
            <w:vAlign w:val="center"/>
            <w:hideMark/>
          </w:tcPr>
          <w:p w14:paraId="7826B3A0"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p>
        </w:tc>
        <w:tc>
          <w:tcPr>
            <w:tcW w:w="882" w:type="dxa"/>
            <w:tcBorders>
              <w:top w:val="nil"/>
              <w:left w:val="nil"/>
              <w:bottom w:val="nil"/>
              <w:right w:val="nil"/>
            </w:tcBorders>
            <w:shd w:val="clear" w:color="000000" w:fill="03365F"/>
            <w:noWrap/>
            <w:vAlign w:val="center"/>
            <w:hideMark/>
          </w:tcPr>
          <w:p w14:paraId="7FC5F27D" w14:textId="77777777" w:rsidR="00200B38" w:rsidRPr="00200B38" w:rsidRDefault="00200B38" w:rsidP="00200B38">
            <w:pPr>
              <w:spacing w:after="0" w:line="240" w:lineRule="auto"/>
              <w:jc w:val="center"/>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w:t>
            </w:r>
          </w:p>
        </w:tc>
        <w:tc>
          <w:tcPr>
            <w:tcW w:w="859" w:type="dxa"/>
            <w:tcBorders>
              <w:top w:val="nil"/>
              <w:left w:val="nil"/>
              <w:bottom w:val="nil"/>
              <w:right w:val="nil"/>
            </w:tcBorders>
            <w:shd w:val="clear" w:color="000000" w:fill="03365F"/>
            <w:noWrap/>
            <w:vAlign w:val="center"/>
            <w:hideMark/>
          </w:tcPr>
          <w:p w14:paraId="67F49EDE" w14:textId="77777777" w:rsidR="00200B38" w:rsidRPr="00200B38" w:rsidRDefault="00200B38" w:rsidP="00200B38">
            <w:pPr>
              <w:spacing w:after="0" w:line="240" w:lineRule="auto"/>
              <w:jc w:val="center"/>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 ex. FX*</w:t>
            </w:r>
          </w:p>
        </w:tc>
      </w:tr>
      <w:tr w:rsidR="00200B38" w:rsidRPr="00200B38" w14:paraId="5395F34F" w14:textId="77777777" w:rsidTr="00200B38">
        <w:trPr>
          <w:trHeight w:val="300"/>
          <w:jc w:val="center"/>
        </w:trPr>
        <w:tc>
          <w:tcPr>
            <w:tcW w:w="4678" w:type="dxa"/>
            <w:tcBorders>
              <w:top w:val="single" w:sz="4" w:space="0" w:color="BFBFBF"/>
              <w:left w:val="nil"/>
              <w:bottom w:val="single" w:sz="4" w:space="0" w:color="BFBFBF"/>
              <w:right w:val="nil"/>
            </w:tcBorders>
            <w:shd w:val="clear" w:color="auto" w:fill="auto"/>
            <w:noWrap/>
            <w:vAlign w:val="bottom"/>
            <w:hideMark/>
          </w:tcPr>
          <w:p w14:paraId="6F9423DA" w14:textId="77777777" w:rsidR="00200B38" w:rsidRPr="00200B38" w:rsidRDefault="00200B38" w:rsidP="00200B38">
            <w:pPr>
              <w:spacing w:after="0" w:line="240" w:lineRule="auto"/>
              <w:jc w:val="left"/>
              <w:rPr>
                <w:rFonts w:ascii="Arial Narrow" w:eastAsia="Times New Roman" w:hAnsi="Arial Narrow" w:cs="Calibri"/>
                <w:lang w:val="en-GB" w:eastAsia="en-GB"/>
              </w:rPr>
            </w:pPr>
            <w:r w:rsidRPr="00200B38">
              <w:rPr>
                <w:rFonts w:ascii="Arial Narrow" w:eastAsia="Times New Roman" w:hAnsi="Arial Narrow" w:cs="Calibri"/>
                <w:lang w:val="en-GB" w:eastAsia="en-GB"/>
              </w:rPr>
              <w:t>Gross earned premiums</w:t>
            </w:r>
          </w:p>
        </w:tc>
        <w:tc>
          <w:tcPr>
            <w:tcW w:w="627" w:type="dxa"/>
            <w:tcBorders>
              <w:top w:val="single" w:sz="4" w:space="0" w:color="BFBFBF"/>
              <w:left w:val="nil"/>
              <w:bottom w:val="single" w:sz="4" w:space="0" w:color="BFBFBF"/>
              <w:right w:val="nil"/>
            </w:tcBorders>
            <w:shd w:val="clear" w:color="000000" w:fill="F2F2F2"/>
            <w:noWrap/>
            <w:vAlign w:val="center"/>
            <w:hideMark/>
          </w:tcPr>
          <w:p w14:paraId="2130574F"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299.0</w:t>
            </w:r>
          </w:p>
        </w:tc>
        <w:tc>
          <w:tcPr>
            <w:tcW w:w="716" w:type="dxa"/>
            <w:tcBorders>
              <w:top w:val="single" w:sz="4" w:space="0" w:color="BFBFBF"/>
              <w:left w:val="nil"/>
              <w:bottom w:val="single" w:sz="4" w:space="0" w:color="BFBFBF"/>
              <w:right w:val="nil"/>
            </w:tcBorders>
            <w:shd w:val="clear" w:color="auto" w:fill="auto"/>
            <w:noWrap/>
            <w:vAlign w:val="center"/>
            <w:hideMark/>
          </w:tcPr>
          <w:p w14:paraId="569247F1"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306.3</w:t>
            </w:r>
          </w:p>
        </w:tc>
        <w:tc>
          <w:tcPr>
            <w:tcW w:w="716" w:type="dxa"/>
            <w:tcBorders>
              <w:top w:val="single" w:sz="4" w:space="0" w:color="BFBFBF"/>
              <w:left w:val="nil"/>
              <w:bottom w:val="single" w:sz="4" w:space="0" w:color="BFBFBF"/>
              <w:right w:val="nil"/>
            </w:tcBorders>
            <w:shd w:val="clear" w:color="auto" w:fill="auto"/>
            <w:noWrap/>
            <w:vAlign w:val="center"/>
            <w:hideMark/>
          </w:tcPr>
          <w:p w14:paraId="44DEC503"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312.6</w:t>
            </w:r>
          </w:p>
        </w:tc>
        <w:tc>
          <w:tcPr>
            <w:tcW w:w="716" w:type="dxa"/>
            <w:tcBorders>
              <w:top w:val="single" w:sz="4" w:space="0" w:color="BFBFBF"/>
              <w:left w:val="nil"/>
              <w:bottom w:val="single" w:sz="4" w:space="0" w:color="BFBFBF"/>
              <w:right w:val="nil"/>
            </w:tcBorders>
            <w:shd w:val="clear" w:color="auto" w:fill="auto"/>
            <w:noWrap/>
            <w:vAlign w:val="center"/>
            <w:hideMark/>
          </w:tcPr>
          <w:p w14:paraId="3138E37A"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317.7</w:t>
            </w:r>
          </w:p>
        </w:tc>
        <w:tc>
          <w:tcPr>
            <w:tcW w:w="716" w:type="dxa"/>
            <w:tcBorders>
              <w:top w:val="single" w:sz="4" w:space="0" w:color="BFBFBF"/>
              <w:left w:val="nil"/>
              <w:bottom w:val="single" w:sz="4" w:space="0" w:color="BFBFBF"/>
              <w:right w:val="nil"/>
            </w:tcBorders>
            <w:shd w:val="clear" w:color="000000" w:fill="D1F0F1"/>
            <w:noWrap/>
            <w:vAlign w:val="center"/>
            <w:hideMark/>
          </w:tcPr>
          <w:p w14:paraId="6E7B7B8F"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301.2</w:t>
            </w:r>
          </w:p>
        </w:tc>
        <w:tc>
          <w:tcPr>
            <w:tcW w:w="296" w:type="dxa"/>
            <w:tcBorders>
              <w:top w:val="nil"/>
              <w:left w:val="nil"/>
              <w:bottom w:val="nil"/>
              <w:right w:val="nil"/>
            </w:tcBorders>
            <w:shd w:val="clear" w:color="auto" w:fill="auto"/>
            <w:noWrap/>
            <w:vAlign w:val="center"/>
            <w:hideMark/>
          </w:tcPr>
          <w:p w14:paraId="12401EA7" w14:textId="77777777" w:rsidR="00200B38" w:rsidRPr="00200B38" w:rsidRDefault="00200B38" w:rsidP="00200B38">
            <w:pPr>
              <w:spacing w:after="0" w:line="240" w:lineRule="auto"/>
              <w:jc w:val="right"/>
              <w:rPr>
                <w:rFonts w:ascii="Arial Narrow" w:eastAsia="Times New Roman" w:hAnsi="Arial Narrow" w:cs="Calibri"/>
                <w:lang w:val="en-GB" w:eastAsia="en-GB"/>
              </w:rPr>
            </w:pPr>
          </w:p>
        </w:tc>
        <w:tc>
          <w:tcPr>
            <w:tcW w:w="882" w:type="dxa"/>
            <w:tcBorders>
              <w:top w:val="single" w:sz="4" w:space="0" w:color="BFBFBF"/>
              <w:left w:val="nil"/>
              <w:bottom w:val="single" w:sz="4" w:space="0" w:color="BFBFBF"/>
              <w:right w:val="nil"/>
            </w:tcBorders>
            <w:shd w:val="clear" w:color="auto" w:fill="auto"/>
            <w:noWrap/>
            <w:vAlign w:val="center"/>
            <w:hideMark/>
          </w:tcPr>
          <w:p w14:paraId="40E4B054"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+0.7%</w:t>
            </w:r>
          </w:p>
        </w:tc>
        <w:tc>
          <w:tcPr>
            <w:tcW w:w="859" w:type="dxa"/>
            <w:tcBorders>
              <w:top w:val="single" w:sz="4" w:space="0" w:color="BFBFBF"/>
              <w:left w:val="nil"/>
              <w:bottom w:val="single" w:sz="4" w:space="0" w:color="BFBFBF"/>
              <w:right w:val="nil"/>
            </w:tcBorders>
            <w:shd w:val="clear" w:color="auto" w:fill="auto"/>
            <w:noWrap/>
            <w:vAlign w:val="center"/>
            <w:hideMark/>
          </w:tcPr>
          <w:p w14:paraId="204D612E"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+0.3%</w:t>
            </w:r>
          </w:p>
        </w:tc>
      </w:tr>
      <w:tr w:rsidR="00200B38" w:rsidRPr="00200B38" w14:paraId="51960FFE" w14:textId="77777777" w:rsidTr="00200B38">
        <w:trPr>
          <w:trHeight w:val="300"/>
          <w:jc w:val="center"/>
        </w:trPr>
        <w:tc>
          <w:tcPr>
            <w:tcW w:w="4678" w:type="dxa"/>
            <w:tcBorders>
              <w:top w:val="nil"/>
              <w:left w:val="nil"/>
              <w:bottom w:val="nil"/>
              <w:right w:val="nil"/>
            </w:tcBorders>
            <w:shd w:val="clear" w:color="auto" w:fill="auto"/>
            <w:noWrap/>
            <w:vAlign w:val="bottom"/>
            <w:hideMark/>
          </w:tcPr>
          <w:p w14:paraId="3AA3F01F" w14:textId="77777777" w:rsidR="00200B38" w:rsidRPr="00200B38" w:rsidRDefault="00200B38" w:rsidP="00200B38">
            <w:pPr>
              <w:spacing w:after="0" w:line="240" w:lineRule="auto"/>
              <w:jc w:val="left"/>
              <w:rPr>
                <w:rFonts w:ascii="Arial Narrow" w:eastAsia="Times New Roman" w:hAnsi="Arial Narrow" w:cs="Calibri"/>
                <w:lang w:val="en-GB" w:eastAsia="en-GB"/>
              </w:rPr>
            </w:pPr>
            <w:r w:rsidRPr="00200B38">
              <w:rPr>
                <w:rFonts w:ascii="Arial Narrow" w:eastAsia="Times New Roman" w:hAnsi="Arial Narrow" w:cs="Calibri"/>
                <w:lang w:val="en-GB" w:eastAsia="en-GB"/>
              </w:rPr>
              <w:t>Services revenue</w:t>
            </w:r>
          </w:p>
        </w:tc>
        <w:tc>
          <w:tcPr>
            <w:tcW w:w="627" w:type="dxa"/>
            <w:tcBorders>
              <w:top w:val="nil"/>
              <w:left w:val="nil"/>
              <w:bottom w:val="nil"/>
              <w:right w:val="nil"/>
            </w:tcBorders>
            <w:shd w:val="clear" w:color="000000" w:fill="F2F2F2"/>
            <w:noWrap/>
            <w:vAlign w:val="center"/>
            <w:hideMark/>
          </w:tcPr>
          <w:p w14:paraId="3E3FA79C"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66.4</w:t>
            </w:r>
          </w:p>
        </w:tc>
        <w:tc>
          <w:tcPr>
            <w:tcW w:w="716" w:type="dxa"/>
            <w:tcBorders>
              <w:top w:val="nil"/>
              <w:left w:val="nil"/>
              <w:bottom w:val="nil"/>
              <w:right w:val="nil"/>
            </w:tcBorders>
            <w:shd w:val="clear" w:color="auto" w:fill="auto"/>
            <w:noWrap/>
            <w:vAlign w:val="center"/>
            <w:hideMark/>
          </w:tcPr>
          <w:p w14:paraId="2B0DD70D"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60.8</w:t>
            </w:r>
          </w:p>
        </w:tc>
        <w:tc>
          <w:tcPr>
            <w:tcW w:w="716" w:type="dxa"/>
            <w:tcBorders>
              <w:top w:val="nil"/>
              <w:left w:val="nil"/>
              <w:bottom w:val="nil"/>
              <w:right w:val="nil"/>
            </w:tcBorders>
            <w:shd w:val="clear" w:color="auto" w:fill="auto"/>
            <w:noWrap/>
            <w:vAlign w:val="center"/>
            <w:hideMark/>
          </w:tcPr>
          <w:p w14:paraId="4CFFDD39"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58.3</w:t>
            </w:r>
          </w:p>
        </w:tc>
        <w:tc>
          <w:tcPr>
            <w:tcW w:w="716" w:type="dxa"/>
            <w:tcBorders>
              <w:top w:val="nil"/>
              <w:left w:val="nil"/>
              <w:bottom w:val="nil"/>
              <w:right w:val="nil"/>
            </w:tcBorders>
            <w:shd w:val="clear" w:color="auto" w:fill="auto"/>
            <w:noWrap/>
            <w:vAlign w:val="center"/>
            <w:hideMark/>
          </w:tcPr>
          <w:p w14:paraId="0ED6A2D6"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59.9</w:t>
            </w:r>
          </w:p>
        </w:tc>
        <w:tc>
          <w:tcPr>
            <w:tcW w:w="716" w:type="dxa"/>
            <w:tcBorders>
              <w:top w:val="nil"/>
              <w:left w:val="nil"/>
              <w:bottom w:val="nil"/>
              <w:right w:val="nil"/>
            </w:tcBorders>
            <w:shd w:val="clear" w:color="000000" w:fill="D1F0F1"/>
            <w:noWrap/>
            <w:vAlign w:val="center"/>
            <w:hideMark/>
          </w:tcPr>
          <w:p w14:paraId="5B319806"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69.3</w:t>
            </w:r>
          </w:p>
        </w:tc>
        <w:tc>
          <w:tcPr>
            <w:tcW w:w="296" w:type="dxa"/>
            <w:tcBorders>
              <w:top w:val="nil"/>
              <w:left w:val="nil"/>
              <w:bottom w:val="nil"/>
              <w:right w:val="nil"/>
            </w:tcBorders>
            <w:shd w:val="clear" w:color="auto" w:fill="auto"/>
            <w:noWrap/>
            <w:vAlign w:val="center"/>
            <w:hideMark/>
          </w:tcPr>
          <w:p w14:paraId="18A2056F" w14:textId="77777777" w:rsidR="00200B38" w:rsidRPr="00200B38" w:rsidRDefault="00200B38" w:rsidP="00200B38">
            <w:pPr>
              <w:spacing w:after="0" w:line="240" w:lineRule="auto"/>
              <w:jc w:val="right"/>
              <w:rPr>
                <w:rFonts w:ascii="Arial Narrow" w:eastAsia="Times New Roman" w:hAnsi="Arial Narrow" w:cs="Calibri"/>
                <w:lang w:val="en-GB" w:eastAsia="en-GB"/>
              </w:rPr>
            </w:pPr>
          </w:p>
        </w:tc>
        <w:tc>
          <w:tcPr>
            <w:tcW w:w="882" w:type="dxa"/>
            <w:tcBorders>
              <w:top w:val="nil"/>
              <w:left w:val="nil"/>
              <w:bottom w:val="nil"/>
              <w:right w:val="nil"/>
            </w:tcBorders>
            <w:shd w:val="clear" w:color="auto" w:fill="auto"/>
            <w:noWrap/>
            <w:vAlign w:val="center"/>
            <w:hideMark/>
          </w:tcPr>
          <w:p w14:paraId="1AB73257"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+4.3%</w:t>
            </w:r>
          </w:p>
        </w:tc>
        <w:tc>
          <w:tcPr>
            <w:tcW w:w="859" w:type="dxa"/>
            <w:tcBorders>
              <w:top w:val="nil"/>
              <w:left w:val="nil"/>
              <w:bottom w:val="nil"/>
              <w:right w:val="nil"/>
            </w:tcBorders>
            <w:shd w:val="clear" w:color="auto" w:fill="auto"/>
            <w:noWrap/>
            <w:vAlign w:val="center"/>
            <w:hideMark/>
          </w:tcPr>
          <w:p w14:paraId="0113043C"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+3.6%</w:t>
            </w:r>
          </w:p>
        </w:tc>
      </w:tr>
      <w:tr w:rsidR="00200B38" w:rsidRPr="00200B38" w14:paraId="1D514047" w14:textId="77777777" w:rsidTr="00200B38">
        <w:trPr>
          <w:trHeight w:val="315"/>
          <w:jc w:val="center"/>
        </w:trPr>
        <w:tc>
          <w:tcPr>
            <w:tcW w:w="4678" w:type="dxa"/>
            <w:tcBorders>
              <w:top w:val="single" w:sz="4" w:space="0" w:color="BFBFBF"/>
              <w:left w:val="nil"/>
              <w:bottom w:val="single" w:sz="8" w:space="0" w:color="BFBFBF"/>
              <w:right w:val="nil"/>
            </w:tcBorders>
            <w:shd w:val="clear" w:color="auto" w:fill="auto"/>
            <w:noWrap/>
            <w:vAlign w:val="bottom"/>
            <w:hideMark/>
          </w:tcPr>
          <w:p w14:paraId="04F064D6" w14:textId="77777777" w:rsidR="00200B38" w:rsidRPr="00200B38" w:rsidRDefault="00200B38" w:rsidP="00200B38">
            <w:pPr>
              <w:spacing w:after="0" w:line="240" w:lineRule="auto"/>
              <w:jc w:val="lef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REVENUE</w:t>
            </w:r>
          </w:p>
        </w:tc>
        <w:tc>
          <w:tcPr>
            <w:tcW w:w="627" w:type="dxa"/>
            <w:tcBorders>
              <w:top w:val="single" w:sz="4" w:space="0" w:color="BFBFBF"/>
              <w:left w:val="nil"/>
              <w:bottom w:val="single" w:sz="8" w:space="0" w:color="BFBFBF"/>
              <w:right w:val="nil"/>
            </w:tcBorders>
            <w:shd w:val="clear" w:color="000000" w:fill="F2F2F2"/>
            <w:noWrap/>
            <w:vAlign w:val="center"/>
            <w:hideMark/>
          </w:tcPr>
          <w:p w14:paraId="1559115A"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365.5</w:t>
            </w:r>
          </w:p>
        </w:tc>
        <w:tc>
          <w:tcPr>
            <w:tcW w:w="716" w:type="dxa"/>
            <w:tcBorders>
              <w:top w:val="single" w:sz="4" w:space="0" w:color="BFBFBF"/>
              <w:left w:val="nil"/>
              <w:bottom w:val="single" w:sz="8" w:space="0" w:color="BFBFBF"/>
              <w:right w:val="nil"/>
            </w:tcBorders>
            <w:shd w:val="clear" w:color="auto" w:fill="auto"/>
            <w:noWrap/>
            <w:vAlign w:val="center"/>
            <w:hideMark/>
          </w:tcPr>
          <w:p w14:paraId="14FB7899"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367.1</w:t>
            </w:r>
          </w:p>
        </w:tc>
        <w:tc>
          <w:tcPr>
            <w:tcW w:w="716" w:type="dxa"/>
            <w:tcBorders>
              <w:top w:val="single" w:sz="4" w:space="0" w:color="BFBFBF"/>
              <w:left w:val="nil"/>
              <w:bottom w:val="single" w:sz="8" w:space="0" w:color="BFBFBF"/>
              <w:right w:val="nil"/>
            </w:tcBorders>
            <w:shd w:val="clear" w:color="auto" w:fill="auto"/>
            <w:noWrap/>
            <w:vAlign w:val="center"/>
            <w:hideMark/>
          </w:tcPr>
          <w:p w14:paraId="0E4E4354"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370.9</w:t>
            </w:r>
          </w:p>
        </w:tc>
        <w:tc>
          <w:tcPr>
            <w:tcW w:w="716" w:type="dxa"/>
            <w:tcBorders>
              <w:top w:val="single" w:sz="4" w:space="0" w:color="BFBFBF"/>
              <w:left w:val="nil"/>
              <w:bottom w:val="single" w:sz="8" w:space="0" w:color="BFBFBF"/>
              <w:right w:val="nil"/>
            </w:tcBorders>
            <w:shd w:val="clear" w:color="auto" w:fill="auto"/>
            <w:noWrap/>
            <w:vAlign w:val="center"/>
            <w:hideMark/>
          </w:tcPr>
          <w:p w14:paraId="6B799467"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377.6</w:t>
            </w:r>
          </w:p>
        </w:tc>
        <w:tc>
          <w:tcPr>
            <w:tcW w:w="716" w:type="dxa"/>
            <w:tcBorders>
              <w:top w:val="single" w:sz="4" w:space="0" w:color="BFBFBF"/>
              <w:left w:val="nil"/>
              <w:bottom w:val="single" w:sz="8" w:space="0" w:color="BFBFBF"/>
              <w:right w:val="nil"/>
            </w:tcBorders>
            <w:shd w:val="clear" w:color="000000" w:fill="D1F0F1"/>
            <w:noWrap/>
            <w:vAlign w:val="center"/>
            <w:hideMark/>
          </w:tcPr>
          <w:p w14:paraId="323F17AC"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370.5</w:t>
            </w:r>
          </w:p>
        </w:tc>
        <w:tc>
          <w:tcPr>
            <w:tcW w:w="296" w:type="dxa"/>
            <w:tcBorders>
              <w:top w:val="nil"/>
              <w:left w:val="nil"/>
              <w:bottom w:val="nil"/>
              <w:right w:val="nil"/>
            </w:tcBorders>
            <w:shd w:val="clear" w:color="auto" w:fill="auto"/>
            <w:noWrap/>
            <w:vAlign w:val="center"/>
            <w:hideMark/>
          </w:tcPr>
          <w:p w14:paraId="397BFCD3"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p>
        </w:tc>
        <w:tc>
          <w:tcPr>
            <w:tcW w:w="882" w:type="dxa"/>
            <w:tcBorders>
              <w:top w:val="single" w:sz="4" w:space="0" w:color="BFBFBF"/>
              <w:left w:val="nil"/>
              <w:bottom w:val="single" w:sz="8" w:space="0" w:color="BFBFBF"/>
              <w:right w:val="nil"/>
            </w:tcBorders>
            <w:shd w:val="clear" w:color="auto" w:fill="auto"/>
            <w:noWrap/>
            <w:vAlign w:val="center"/>
            <w:hideMark/>
          </w:tcPr>
          <w:p w14:paraId="649EEE3C"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+1.4%</w:t>
            </w:r>
          </w:p>
        </w:tc>
        <w:tc>
          <w:tcPr>
            <w:tcW w:w="859" w:type="dxa"/>
            <w:tcBorders>
              <w:top w:val="single" w:sz="4" w:space="0" w:color="BFBFBF"/>
              <w:left w:val="nil"/>
              <w:bottom w:val="single" w:sz="8" w:space="0" w:color="BFBFBF"/>
              <w:right w:val="nil"/>
            </w:tcBorders>
            <w:shd w:val="clear" w:color="auto" w:fill="auto"/>
            <w:noWrap/>
            <w:vAlign w:val="center"/>
            <w:hideMark/>
          </w:tcPr>
          <w:p w14:paraId="40266DDB"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+0.9%</w:t>
            </w:r>
          </w:p>
        </w:tc>
      </w:tr>
      <w:tr w:rsidR="00200B38" w:rsidRPr="00200B38" w14:paraId="0FB3753B" w14:textId="77777777" w:rsidTr="00200B38">
        <w:trPr>
          <w:trHeight w:val="315"/>
          <w:jc w:val="center"/>
        </w:trPr>
        <w:tc>
          <w:tcPr>
            <w:tcW w:w="4678" w:type="dxa"/>
            <w:tcBorders>
              <w:top w:val="single" w:sz="4" w:space="0" w:color="03365F"/>
              <w:left w:val="nil"/>
              <w:bottom w:val="single" w:sz="8" w:space="0" w:color="03365F"/>
              <w:right w:val="nil"/>
            </w:tcBorders>
            <w:shd w:val="clear" w:color="auto" w:fill="auto"/>
            <w:vAlign w:val="bottom"/>
            <w:hideMark/>
          </w:tcPr>
          <w:p w14:paraId="511BB5D7" w14:textId="77777777" w:rsidR="00200B38" w:rsidRPr="00200B38" w:rsidRDefault="00200B38" w:rsidP="00200B38">
            <w:pPr>
              <w:spacing w:after="0" w:line="240" w:lineRule="auto"/>
              <w:jc w:val="lef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UNDERWRITING INCOME(LOSS) AFTER REINSURANCE</w:t>
            </w:r>
          </w:p>
        </w:tc>
        <w:tc>
          <w:tcPr>
            <w:tcW w:w="627" w:type="dxa"/>
            <w:tcBorders>
              <w:top w:val="single" w:sz="4" w:space="0" w:color="03365F"/>
              <w:left w:val="nil"/>
              <w:bottom w:val="single" w:sz="8" w:space="0" w:color="03365F"/>
              <w:right w:val="nil"/>
            </w:tcBorders>
            <w:shd w:val="clear" w:color="000000" w:fill="F2F2F2"/>
            <w:noWrap/>
            <w:vAlign w:val="center"/>
            <w:hideMark/>
          </w:tcPr>
          <w:p w14:paraId="2F1BCEFA"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52.0</w:t>
            </w:r>
          </w:p>
        </w:tc>
        <w:tc>
          <w:tcPr>
            <w:tcW w:w="716" w:type="dxa"/>
            <w:tcBorders>
              <w:top w:val="single" w:sz="4" w:space="0" w:color="03365F"/>
              <w:left w:val="nil"/>
              <w:bottom w:val="single" w:sz="8" w:space="0" w:color="03365F"/>
              <w:right w:val="nil"/>
            </w:tcBorders>
            <w:shd w:val="clear" w:color="auto" w:fill="auto"/>
            <w:noWrap/>
            <w:vAlign w:val="center"/>
            <w:hideMark/>
          </w:tcPr>
          <w:p w14:paraId="58E00670"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47.4</w:t>
            </w:r>
          </w:p>
        </w:tc>
        <w:tc>
          <w:tcPr>
            <w:tcW w:w="716" w:type="dxa"/>
            <w:tcBorders>
              <w:top w:val="single" w:sz="4" w:space="0" w:color="03365F"/>
              <w:left w:val="nil"/>
              <w:bottom w:val="single" w:sz="8" w:space="0" w:color="03365F"/>
              <w:right w:val="nil"/>
            </w:tcBorders>
            <w:shd w:val="clear" w:color="auto" w:fill="auto"/>
            <w:noWrap/>
            <w:vAlign w:val="center"/>
            <w:hideMark/>
          </w:tcPr>
          <w:p w14:paraId="2563EAAE"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46.3</w:t>
            </w:r>
          </w:p>
        </w:tc>
        <w:tc>
          <w:tcPr>
            <w:tcW w:w="716" w:type="dxa"/>
            <w:tcBorders>
              <w:top w:val="single" w:sz="4" w:space="0" w:color="03365F"/>
              <w:left w:val="nil"/>
              <w:bottom w:val="single" w:sz="8" w:space="0" w:color="03365F"/>
              <w:right w:val="nil"/>
            </w:tcBorders>
            <w:shd w:val="clear" w:color="auto" w:fill="auto"/>
            <w:noWrap/>
            <w:vAlign w:val="center"/>
            <w:hideMark/>
          </w:tcPr>
          <w:p w14:paraId="052ECF96"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42.2</w:t>
            </w:r>
          </w:p>
        </w:tc>
        <w:tc>
          <w:tcPr>
            <w:tcW w:w="716" w:type="dxa"/>
            <w:tcBorders>
              <w:top w:val="single" w:sz="4" w:space="0" w:color="03365F"/>
              <w:left w:val="nil"/>
              <w:bottom w:val="single" w:sz="8" w:space="0" w:color="03365F"/>
              <w:right w:val="nil"/>
            </w:tcBorders>
            <w:shd w:val="clear" w:color="000000" w:fill="D1F0F1"/>
            <w:noWrap/>
            <w:vAlign w:val="center"/>
            <w:hideMark/>
          </w:tcPr>
          <w:p w14:paraId="6FDE4DB5"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28.2</w:t>
            </w:r>
          </w:p>
        </w:tc>
        <w:tc>
          <w:tcPr>
            <w:tcW w:w="296" w:type="dxa"/>
            <w:tcBorders>
              <w:top w:val="nil"/>
              <w:left w:val="nil"/>
              <w:bottom w:val="nil"/>
              <w:right w:val="nil"/>
            </w:tcBorders>
            <w:shd w:val="clear" w:color="auto" w:fill="auto"/>
            <w:noWrap/>
            <w:vAlign w:val="center"/>
            <w:hideMark/>
          </w:tcPr>
          <w:p w14:paraId="3E581D01"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p>
        </w:tc>
        <w:tc>
          <w:tcPr>
            <w:tcW w:w="882" w:type="dxa"/>
            <w:tcBorders>
              <w:top w:val="single" w:sz="4" w:space="0" w:color="03365F"/>
              <w:left w:val="nil"/>
              <w:bottom w:val="single" w:sz="8" w:space="0" w:color="03365F"/>
              <w:right w:val="nil"/>
            </w:tcBorders>
            <w:shd w:val="clear" w:color="auto" w:fill="auto"/>
            <w:noWrap/>
            <w:vAlign w:val="center"/>
            <w:hideMark/>
          </w:tcPr>
          <w:p w14:paraId="555D79C4"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(45.7)%</w:t>
            </w:r>
          </w:p>
        </w:tc>
        <w:tc>
          <w:tcPr>
            <w:tcW w:w="859" w:type="dxa"/>
            <w:tcBorders>
              <w:top w:val="single" w:sz="4" w:space="0" w:color="03365F"/>
              <w:left w:val="nil"/>
              <w:bottom w:val="single" w:sz="8" w:space="0" w:color="03365F"/>
              <w:right w:val="nil"/>
            </w:tcBorders>
            <w:shd w:val="clear" w:color="auto" w:fill="auto"/>
            <w:noWrap/>
            <w:vAlign w:val="center"/>
            <w:hideMark/>
          </w:tcPr>
          <w:p w14:paraId="7E153C33"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(41.8)%</w:t>
            </w:r>
          </w:p>
        </w:tc>
      </w:tr>
      <w:tr w:rsidR="00200B38" w:rsidRPr="00200B38" w14:paraId="274FCAF8" w14:textId="77777777" w:rsidTr="00200B38">
        <w:trPr>
          <w:trHeight w:val="300"/>
          <w:jc w:val="center"/>
        </w:trPr>
        <w:tc>
          <w:tcPr>
            <w:tcW w:w="4678" w:type="dxa"/>
            <w:tcBorders>
              <w:top w:val="single" w:sz="4" w:space="0" w:color="BFBFBF"/>
              <w:left w:val="nil"/>
              <w:bottom w:val="nil"/>
              <w:right w:val="nil"/>
            </w:tcBorders>
            <w:shd w:val="clear" w:color="auto" w:fill="auto"/>
            <w:vAlign w:val="bottom"/>
            <w:hideMark/>
          </w:tcPr>
          <w:p w14:paraId="72A4FFEB" w14:textId="77777777" w:rsidR="00200B38" w:rsidRPr="00200B38" w:rsidRDefault="00200B38" w:rsidP="00200B38">
            <w:pPr>
              <w:spacing w:after="0" w:line="240" w:lineRule="auto"/>
              <w:jc w:val="left"/>
              <w:rPr>
                <w:rFonts w:ascii="Arial Narrow" w:eastAsia="Times New Roman" w:hAnsi="Arial Narrow" w:cs="Calibri"/>
                <w:lang w:val="en-GB" w:eastAsia="en-GB"/>
              </w:rPr>
            </w:pPr>
            <w:r w:rsidRPr="00200B38">
              <w:rPr>
                <w:rFonts w:ascii="Arial Narrow" w:eastAsia="Times New Roman" w:hAnsi="Arial Narrow" w:cs="Calibri"/>
                <w:lang w:val="en-GB" w:eastAsia="en-GB"/>
              </w:rPr>
              <w:t>Investment income, net of management expenses</w:t>
            </w:r>
          </w:p>
        </w:tc>
        <w:tc>
          <w:tcPr>
            <w:tcW w:w="627" w:type="dxa"/>
            <w:tcBorders>
              <w:top w:val="single" w:sz="4" w:space="0" w:color="BFBFBF"/>
              <w:left w:val="nil"/>
              <w:bottom w:val="single" w:sz="4" w:space="0" w:color="BFBFBF"/>
              <w:right w:val="nil"/>
            </w:tcBorders>
            <w:shd w:val="clear" w:color="000000" w:fill="F2F2F2"/>
            <w:noWrap/>
            <w:vAlign w:val="center"/>
            <w:hideMark/>
          </w:tcPr>
          <w:p w14:paraId="3EFAD002"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5.1</w:t>
            </w:r>
          </w:p>
        </w:tc>
        <w:tc>
          <w:tcPr>
            <w:tcW w:w="716" w:type="dxa"/>
            <w:tcBorders>
              <w:top w:val="single" w:sz="4" w:space="0" w:color="BFBFBF"/>
              <w:left w:val="nil"/>
              <w:bottom w:val="single" w:sz="4" w:space="0" w:color="BFBFBF"/>
              <w:right w:val="nil"/>
            </w:tcBorders>
            <w:shd w:val="clear" w:color="auto" w:fill="auto"/>
            <w:noWrap/>
            <w:vAlign w:val="center"/>
            <w:hideMark/>
          </w:tcPr>
          <w:p w14:paraId="370ABD76"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11.5</w:t>
            </w:r>
          </w:p>
        </w:tc>
        <w:tc>
          <w:tcPr>
            <w:tcW w:w="716" w:type="dxa"/>
            <w:tcBorders>
              <w:top w:val="single" w:sz="4" w:space="0" w:color="BFBFBF"/>
              <w:left w:val="nil"/>
              <w:bottom w:val="single" w:sz="4" w:space="0" w:color="BFBFBF"/>
              <w:right w:val="nil"/>
            </w:tcBorders>
            <w:shd w:val="clear" w:color="auto" w:fill="auto"/>
            <w:noWrap/>
            <w:vAlign w:val="center"/>
            <w:hideMark/>
          </w:tcPr>
          <w:p w14:paraId="32131E73"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11.8</w:t>
            </w:r>
          </w:p>
        </w:tc>
        <w:tc>
          <w:tcPr>
            <w:tcW w:w="716" w:type="dxa"/>
            <w:tcBorders>
              <w:top w:val="single" w:sz="4" w:space="0" w:color="BFBFBF"/>
              <w:left w:val="nil"/>
              <w:bottom w:val="single" w:sz="4" w:space="0" w:color="BFBFBF"/>
              <w:right w:val="nil"/>
            </w:tcBorders>
            <w:shd w:val="clear" w:color="auto" w:fill="auto"/>
            <w:noWrap/>
            <w:vAlign w:val="center"/>
            <w:hideMark/>
          </w:tcPr>
          <w:p w14:paraId="2283FFAA"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8.5</w:t>
            </w:r>
          </w:p>
        </w:tc>
        <w:tc>
          <w:tcPr>
            <w:tcW w:w="716" w:type="dxa"/>
            <w:tcBorders>
              <w:top w:val="single" w:sz="4" w:space="0" w:color="BFBFBF"/>
              <w:left w:val="nil"/>
              <w:bottom w:val="single" w:sz="4" w:space="0" w:color="BFBFBF"/>
              <w:right w:val="nil"/>
            </w:tcBorders>
            <w:shd w:val="clear" w:color="000000" w:fill="D1F0F1"/>
            <w:noWrap/>
            <w:vAlign w:val="center"/>
            <w:hideMark/>
          </w:tcPr>
          <w:p w14:paraId="3CF3E716"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2.7</w:t>
            </w:r>
          </w:p>
        </w:tc>
        <w:tc>
          <w:tcPr>
            <w:tcW w:w="296" w:type="dxa"/>
            <w:tcBorders>
              <w:top w:val="nil"/>
              <w:left w:val="nil"/>
              <w:bottom w:val="nil"/>
              <w:right w:val="nil"/>
            </w:tcBorders>
            <w:shd w:val="clear" w:color="auto" w:fill="auto"/>
            <w:noWrap/>
            <w:vAlign w:val="center"/>
            <w:hideMark/>
          </w:tcPr>
          <w:p w14:paraId="73F51805" w14:textId="77777777" w:rsidR="00200B38" w:rsidRPr="00200B38" w:rsidRDefault="00200B38" w:rsidP="00200B38">
            <w:pPr>
              <w:spacing w:after="0" w:line="240" w:lineRule="auto"/>
              <w:jc w:val="right"/>
              <w:rPr>
                <w:rFonts w:ascii="Arial Narrow" w:eastAsia="Times New Roman" w:hAnsi="Arial Narrow" w:cs="Calibri"/>
                <w:lang w:val="en-GB" w:eastAsia="en-GB"/>
              </w:rPr>
            </w:pPr>
          </w:p>
        </w:tc>
        <w:tc>
          <w:tcPr>
            <w:tcW w:w="882" w:type="dxa"/>
            <w:tcBorders>
              <w:top w:val="single" w:sz="4" w:space="0" w:color="BFBFBF"/>
              <w:left w:val="nil"/>
              <w:bottom w:val="single" w:sz="4" w:space="0" w:color="BFBFBF"/>
              <w:right w:val="nil"/>
            </w:tcBorders>
            <w:shd w:val="clear" w:color="auto" w:fill="auto"/>
            <w:noWrap/>
            <w:vAlign w:val="center"/>
            <w:hideMark/>
          </w:tcPr>
          <w:p w14:paraId="1CA780A3"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(47.8)%</w:t>
            </w:r>
          </w:p>
        </w:tc>
        <w:tc>
          <w:tcPr>
            <w:tcW w:w="859" w:type="dxa"/>
            <w:tcBorders>
              <w:top w:val="single" w:sz="4" w:space="0" w:color="BFBFBF"/>
              <w:left w:val="nil"/>
              <w:bottom w:val="single" w:sz="4" w:space="0" w:color="BFBFBF"/>
              <w:right w:val="nil"/>
            </w:tcBorders>
            <w:shd w:val="clear" w:color="auto" w:fill="auto"/>
            <w:noWrap/>
            <w:vAlign w:val="center"/>
            <w:hideMark/>
          </w:tcPr>
          <w:p w14:paraId="60FEBAC4"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(36.7)%</w:t>
            </w:r>
          </w:p>
        </w:tc>
      </w:tr>
      <w:tr w:rsidR="00200B38" w:rsidRPr="00200B38" w14:paraId="7E6DAA57" w14:textId="77777777" w:rsidTr="00200B38">
        <w:trPr>
          <w:trHeight w:val="300"/>
          <w:jc w:val="center"/>
        </w:trPr>
        <w:tc>
          <w:tcPr>
            <w:tcW w:w="4678" w:type="dxa"/>
            <w:tcBorders>
              <w:top w:val="single" w:sz="4" w:space="0" w:color="18B3B9"/>
              <w:left w:val="nil"/>
              <w:bottom w:val="single" w:sz="8" w:space="0" w:color="18B3B9"/>
              <w:right w:val="nil"/>
            </w:tcBorders>
            <w:shd w:val="clear" w:color="auto" w:fill="auto"/>
            <w:noWrap/>
            <w:vAlign w:val="center"/>
            <w:hideMark/>
          </w:tcPr>
          <w:p w14:paraId="3B2A56CC" w14:textId="77777777" w:rsidR="00200B38" w:rsidRPr="00200B38" w:rsidRDefault="00200B38" w:rsidP="00200B38">
            <w:pPr>
              <w:spacing w:after="0" w:line="240" w:lineRule="auto"/>
              <w:jc w:val="lef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CURRENT OPERATING INCOME</w:t>
            </w:r>
          </w:p>
        </w:tc>
        <w:tc>
          <w:tcPr>
            <w:tcW w:w="627" w:type="dxa"/>
            <w:tcBorders>
              <w:top w:val="single" w:sz="4" w:space="0" w:color="18B3B9"/>
              <w:left w:val="nil"/>
              <w:bottom w:val="single" w:sz="8" w:space="0" w:color="18B3B9"/>
              <w:right w:val="nil"/>
            </w:tcBorders>
            <w:shd w:val="clear" w:color="000000" w:fill="F2F2F2"/>
            <w:noWrap/>
            <w:vAlign w:val="center"/>
            <w:hideMark/>
          </w:tcPr>
          <w:p w14:paraId="6250AD9E"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57.2</w:t>
            </w:r>
          </w:p>
        </w:tc>
        <w:tc>
          <w:tcPr>
            <w:tcW w:w="716" w:type="dxa"/>
            <w:tcBorders>
              <w:top w:val="single" w:sz="4" w:space="0" w:color="18B3B9"/>
              <w:left w:val="nil"/>
              <w:bottom w:val="single" w:sz="8" w:space="0" w:color="18B3B9"/>
              <w:right w:val="nil"/>
            </w:tcBorders>
            <w:shd w:val="clear" w:color="auto" w:fill="auto"/>
            <w:noWrap/>
            <w:vAlign w:val="center"/>
            <w:hideMark/>
          </w:tcPr>
          <w:p w14:paraId="4C217A9D"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58.9</w:t>
            </w:r>
          </w:p>
        </w:tc>
        <w:tc>
          <w:tcPr>
            <w:tcW w:w="716" w:type="dxa"/>
            <w:tcBorders>
              <w:top w:val="single" w:sz="4" w:space="0" w:color="18B3B9"/>
              <w:left w:val="nil"/>
              <w:bottom w:val="single" w:sz="8" w:space="0" w:color="18B3B9"/>
              <w:right w:val="nil"/>
            </w:tcBorders>
            <w:shd w:val="clear" w:color="auto" w:fill="auto"/>
            <w:noWrap/>
            <w:vAlign w:val="center"/>
            <w:hideMark/>
          </w:tcPr>
          <w:p w14:paraId="3B69A84F"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58.0</w:t>
            </w:r>
          </w:p>
        </w:tc>
        <w:tc>
          <w:tcPr>
            <w:tcW w:w="716" w:type="dxa"/>
            <w:tcBorders>
              <w:top w:val="single" w:sz="4" w:space="0" w:color="18B3B9"/>
              <w:left w:val="nil"/>
              <w:bottom w:val="single" w:sz="8" w:space="0" w:color="18B3B9"/>
              <w:right w:val="nil"/>
            </w:tcBorders>
            <w:shd w:val="clear" w:color="auto" w:fill="auto"/>
            <w:noWrap/>
            <w:vAlign w:val="center"/>
            <w:hideMark/>
          </w:tcPr>
          <w:p w14:paraId="5F6ABF48"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50.7</w:t>
            </w:r>
          </w:p>
        </w:tc>
        <w:tc>
          <w:tcPr>
            <w:tcW w:w="716" w:type="dxa"/>
            <w:tcBorders>
              <w:top w:val="single" w:sz="4" w:space="0" w:color="18B3B9"/>
              <w:left w:val="nil"/>
              <w:bottom w:val="single" w:sz="8" w:space="0" w:color="18B3B9"/>
              <w:right w:val="nil"/>
            </w:tcBorders>
            <w:shd w:val="clear" w:color="000000" w:fill="D1F0F1"/>
            <w:noWrap/>
            <w:vAlign w:val="center"/>
            <w:hideMark/>
          </w:tcPr>
          <w:p w14:paraId="1D390C2B"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30.9</w:t>
            </w:r>
          </w:p>
        </w:tc>
        <w:tc>
          <w:tcPr>
            <w:tcW w:w="296" w:type="dxa"/>
            <w:tcBorders>
              <w:top w:val="nil"/>
              <w:left w:val="nil"/>
              <w:bottom w:val="nil"/>
              <w:right w:val="nil"/>
            </w:tcBorders>
            <w:shd w:val="clear" w:color="auto" w:fill="auto"/>
            <w:noWrap/>
            <w:vAlign w:val="center"/>
            <w:hideMark/>
          </w:tcPr>
          <w:p w14:paraId="30948D63"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p>
        </w:tc>
        <w:tc>
          <w:tcPr>
            <w:tcW w:w="882" w:type="dxa"/>
            <w:tcBorders>
              <w:top w:val="single" w:sz="4" w:space="0" w:color="18B3B9"/>
              <w:left w:val="nil"/>
              <w:bottom w:val="single" w:sz="8" w:space="0" w:color="18B3B9"/>
              <w:right w:val="nil"/>
            </w:tcBorders>
            <w:shd w:val="clear" w:color="auto" w:fill="auto"/>
            <w:noWrap/>
            <w:vAlign w:val="center"/>
            <w:hideMark/>
          </w:tcPr>
          <w:p w14:paraId="4E00D88B"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(45.9)%</w:t>
            </w:r>
          </w:p>
        </w:tc>
        <w:tc>
          <w:tcPr>
            <w:tcW w:w="859" w:type="dxa"/>
            <w:tcBorders>
              <w:top w:val="single" w:sz="4" w:space="0" w:color="18B3B9"/>
              <w:left w:val="nil"/>
              <w:bottom w:val="single" w:sz="8" w:space="0" w:color="18B3B9"/>
              <w:right w:val="nil"/>
            </w:tcBorders>
            <w:shd w:val="clear" w:color="auto" w:fill="auto"/>
            <w:noWrap/>
            <w:vAlign w:val="center"/>
            <w:hideMark/>
          </w:tcPr>
          <w:p w14:paraId="11803493"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(41.6)%</w:t>
            </w:r>
          </w:p>
        </w:tc>
      </w:tr>
      <w:tr w:rsidR="00200B38" w:rsidRPr="00200B38" w14:paraId="7B80983A" w14:textId="77777777" w:rsidTr="00200B38">
        <w:trPr>
          <w:trHeight w:val="300"/>
          <w:jc w:val="center"/>
        </w:trPr>
        <w:tc>
          <w:tcPr>
            <w:tcW w:w="4678" w:type="dxa"/>
            <w:tcBorders>
              <w:top w:val="nil"/>
              <w:left w:val="nil"/>
              <w:bottom w:val="nil"/>
              <w:right w:val="nil"/>
            </w:tcBorders>
            <w:shd w:val="clear" w:color="auto" w:fill="auto"/>
            <w:noWrap/>
            <w:vAlign w:val="bottom"/>
            <w:hideMark/>
          </w:tcPr>
          <w:p w14:paraId="502CBB9F" w14:textId="77777777" w:rsidR="00200B38" w:rsidRPr="00200B38" w:rsidRDefault="00200B38" w:rsidP="00200B38">
            <w:pPr>
              <w:spacing w:after="0" w:line="240" w:lineRule="auto"/>
              <w:jc w:val="left"/>
              <w:rPr>
                <w:rFonts w:ascii="Arial Narrow" w:eastAsia="Times New Roman" w:hAnsi="Arial Narrow" w:cs="Calibri"/>
                <w:lang w:val="en-GB" w:eastAsia="en-GB"/>
              </w:rPr>
            </w:pPr>
            <w:r w:rsidRPr="00200B38">
              <w:rPr>
                <w:rFonts w:ascii="Arial Narrow" w:eastAsia="Times New Roman" w:hAnsi="Arial Narrow" w:cs="Calibri"/>
                <w:lang w:val="en-GB" w:eastAsia="en-GB"/>
              </w:rPr>
              <w:t>Other operating income / expenses</w:t>
            </w:r>
          </w:p>
        </w:tc>
        <w:tc>
          <w:tcPr>
            <w:tcW w:w="627" w:type="dxa"/>
            <w:tcBorders>
              <w:top w:val="nil"/>
              <w:left w:val="nil"/>
              <w:bottom w:val="nil"/>
              <w:right w:val="nil"/>
            </w:tcBorders>
            <w:shd w:val="clear" w:color="000000" w:fill="F2F2F2"/>
            <w:noWrap/>
            <w:vAlign w:val="center"/>
            <w:hideMark/>
          </w:tcPr>
          <w:p w14:paraId="5F26B1E1"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(0.2)</w:t>
            </w:r>
          </w:p>
        </w:tc>
        <w:tc>
          <w:tcPr>
            <w:tcW w:w="716" w:type="dxa"/>
            <w:tcBorders>
              <w:top w:val="nil"/>
              <w:left w:val="nil"/>
              <w:bottom w:val="nil"/>
              <w:right w:val="nil"/>
            </w:tcBorders>
            <w:shd w:val="clear" w:color="auto" w:fill="auto"/>
            <w:noWrap/>
            <w:vAlign w:val="center"/>
            <w:hideMark/>
          </w:tcPr>
          <w:p w14:paraId="6A82ECE3"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1.3</w:t>
            </w:r>
          </w:p>
        </w:tc>
        <w:tc>
          <w:tcPr>
            <w:tcW w:w="716" w:type="dxa"/>
            <w:tcBorders>
              <w:top w:val="nil"/>
              <w:left w:val="nil"/>
              <w:bottom w:val="nil"/>
              <w:right w:val="nil"/>
            </w:tcBorders>
            <w:shd w:val="clear" w:color="auto" w:fill="auto"/>
            <w:noWrap/>
            <w:vAlign w:val="center"/>
            <w:hideMark/>
          </w:tcPr>
          <w:p w14:paraId="3BC6ACBD"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(1.0)</w:t>
            </w:r>
          </w:p>
        </w:tc>
        <w:tc>
          <w:tcPr>
            <w:tcW w:w="716" w:type="dxa"/>
            <w:tcBorders>
              <w:top w:val="nil"/>
              <w:left w:val="nil"/>
              <w:bottom w:val="nil"/>
              <w:right w:val="nil"/>
            </w:tcBorders>
            <w:shd w:val="clear" w:color="auto" w:fill="auto"/>
            <w:noWrap/>
            <w:vAlign w:val="center"/>
            <w:hideMark/>
          </w:tcPr>
          <w:p w14:paraId="4FDD9431"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(6.1)</w:t>
            </w:r>
          </w:p>
        </w:tc>
        <w:tc>
          <w:tcPr>
            <w:tcW w:w="716" w:type="dxa"/>
            <w:tcBorders>
              <w:top w:val="nil"/>
              <w:left w:val="nil"/>
              <w:bottom w:val="nil"/>
              <w:right w:val="nil"/>
            </w:tcBorders>
            <w:shd w:val="clear" w:color="000000" w:fill="D1F0F1"/>
            <w:noWrap/>
            <w:vAlign w:val="center"/>
            <w:hideMark/>
          </w:tcPr>
          <w:p w14:paraId="028B0B39"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(0.2)</w:t>
            </w:r>
          </w:p>
        </w:tc>
        <w:tc>
          <w:tcPr>
            <w:tcW w:w="296" w:type="dxa"/>
            <w:tcBorders>
              <w:top w:val="nil"/>
              <w:left w:val="nil"/>
              <w:bottom w:val="nil"/>
              <w:right w:val="nil"/>
            </w:tcBorders>
            <w:shd w:val="clear" w:color="auto" w:fill="auto"/>
            <w:noWrap/>
            <w:vAlign w:val="center"/>
            <w:hideMark/>
          </w:tcPr>
          <w:p w14:paraId="2B3A4101" w14:textId="77777777" w:rsidR="00200B38" w:rsidRPr="00200B38" w:rsidRDefault="00200B38" w:rsidP="00200B38">
            <w:pPr>
              <w:spacing w:after="0" w:line="240" w:lineRule="auto"/>
              <w:jc w:val="right"/>
              <w:rPr>
                <w:rFonts w:ascii="Arial Narrow" w:eastAsia="Times New Roman" w:hAnsi="Arial Narrow" w:cs="Calibri"/>
                <w:lang w:val="en-GB" w:eastAsia="en-GB"/>
              </w:rPr>
            </w:pPr>
          </w:p>
        </w:tc>
        <w:tc>
          <w:tcPr>
            <w:tcW w:w="882" w:type="dxa"/>
            <w:tcBorders>
              <w:top w:val="nil"/>
              <w:left w:val="nil"/>
              <w:bottom w:val="nil"/>
              <w:right w:val="nil"/>
            </w:tcBorders>
            <w:shd w:val="clear" w:color="auto" w:fill="auto"/>
            <w:noWrap/>
            <w:vAlign w:val="center"/>
            <w:hideMark/>
          </w:tcPr>
          <w:p w14:paraId="74DC9F26"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(20.5)%</w:t>
            </w:r>
          </w:p>
        </w:tc>
        <w:tc>
          <w:tcPr>
            <w:tcW w:w="859" w:type="dxa"/>
            <w:tcBorders>
              <w:top w:val="nil"/>
              <w:left w:val="nil"/>
              <w:bottom w:val="nil"/>
              <w:right w:val="nil"/>
            </w:tcBorders>
            <w:shd w:val="clear" w:color="auto" w:fill="auto"/>
            <w:noWrap/>
            <w:vAlign w:val="center"/>
            <w:hideMark/>
          </w:tcPr>
          <w:p w14:paraId="4ED27934"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(13.0)%</w:t>
            </w:r>
          </w:p>
        </w:tc>
      </w:tr>
      <w:tr w:rsidR="00200B38" w:rsidRPr="00200B38" w14:paraId="703614A0" w14:textId="77777777" w:rsidTr="00200B38">
        <w:trPr>
          <w:trHeight w:val="300"/>
          <w:jc w:val="center"/>
        </w:trPr>
        <w:tc>
          <w:tcPr>
            <w:tcW w:w="4678" w:type="dxa"/>
            <w:tcBorders>
              <w:top w:val="single" w:sz="4" w:space="0" w:color="18B3B9"/>
              <w:left w:val="nil"/>
              <w:bottom w:val="single" w:sz="8" w:space="0" w:color="18B3B9"/>
              <w:right w:val="nil"/>
            </w:tcBorders>
            <w:shd w:val="clear" w:color="auto" w:fill="auto"/>
            <w:noWrap/>
            <w:vAlign w:val="center"/>
            <w:hideMark/>
          </w:tcPr>
          <w:p w14:paraId="0F5CEF32" w14:textId="77777777" w:rsidR="00200B38" w:rsidRPr="00200B38" w:rsidRDefault="00200B38" w:rsidP="00200B38">
            <w:pPr>
              <w:spacing w:after="0" w:line="240" w:lineRule="auto"/>
              <w:jc w:val="lef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OPERATING INCOME</w:t>
            </w:r>
          </w:p>
        </w:tc>
        <w:tc>
          <w:tcPr>
            <w:tcW w:w="627" w:type="dxa"/>
            <w:tcBorders>
              <w:top w:val="single" w:sz="4" w:space="0" w:color="18B3B9"/>
              <w:left w:val="nil"/>
              <w:bottom w:val="single" w:sz="8" w:space="0" w:color="18B3B9"/>
              <w:right w:val="nil"/>
            </w:tcBorders>
            <w:shd w:val="clear" w:color="000000" w:fill="F2F2F2"/>
            <w:noWrap/>
            <w:vAlign w:val="center"/>
            <w:hideMark/>
          </w:tcPr>
          <w:p w14:paraId="7B510A08"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56.9</w:t>
            </w:r>
          </w:p>
        </w:tc>
        <w:tc>
          <w:tcPr>
            <w:tcW w:w="716" w:type="dxa"/>
            <w:tcBorders>
              <w:top w:val="single" w:sz="4" w:space="0" w:color="18B3B9"/>
              <w:left w:val="nil"/>
              <w:bottom w:val="single" w:sz="8" w:space="0" w:color="18B3B9"/>
              <w:right w:val="nil"/>
            </w:tcBorders>
            <w:shd w:val="clear" w:color="auto" w:fill="auto"/>
            <w:noWrap/>
            <w:vAlign w:val="center"/>
            <w:hideMark/>
          </w:tcPr>
          <w:p w14:paraId="6EFACFF0"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60.3</w:t>
            </w:r>
          </w:p>
        </w:tc>
        <w:tc>
          <w:tcPr>
            <w:tcW w:w="716" w:type="dxa"/>
            <w:tcBorders>
              <w:top w:val="single" w:sz="4" w:space="0" w:color="18B3B9"/>
              <w:left w:val="nil"/>
              <w:bottom w:val="single" w:sz="8" w:space="0" w:color="18B3B9"/>
              <w:right w:val="nil"/>
            </w:tcBorders>
            <w:shd w:val="clear" w:color="auto" w:fill="auto"/>
            <w:noWrap/>
            <w:vAlign w:val="center"/>
            <w:hideMark/>
          </w:tcPr>
          <w:p w14:paraId="27080DEB"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57.0</w:t>
            </w:r>
          </w:p>
        </w:tc>
        <w:tc>
          <w:tcPr>
            <w:tcW w:w="716" w:type="dxa"/>
            <w:tcBorders>
              <w:top w:val="single" w:sz="4" w:space="0" w:color="18B3B9"/>
              <w:left w:val="nil"/>
              <w:bottom w:val="single" w:sz="8" w:space="0" w:color="18B3B9"/>
              <w:right w:val="nil"/>
            </w:tcBorders>
            <w:shd w:val="clear" w:color="auto" w:fill="auto"/>
            <w:noWrap/>
            <w:vAlign w:val="center"/>
            <w:hideMark/>
          </w:tcPr>
          <w:p w14:paraId="7B0AC137"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44.6</w:t>
            </w:r>
          </w:p>
        </w:tc>
        <w:tc>
          <w:tcPr>
            <w:tcW w:w="716" w:type="dxa"/>
            <w:tcBorders>
              <w:top w:val="single" w:sz="4" w:space="0" w:color="18B3B9"/>
              <w:left w:val="nil"/>
              <w:bottom w:val="single" w:sz="8" w:space="0" w:color="18B3B9"/>
              <w:right w:val="nil"/>
            </w:tcBorders>
            <w:shd w:val="clear" w:color="000000" w:fill="D1F0F1"/>
            <w:noWrap/>
            <w:vAlign w:val="center"/>
            <w:hideMark/>
          </w:tcPr>
          <w:p w14:paraId="66A35ACE"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30.7</w:t>
            </w:r>
          </w:p>
        </w:tc>
        <w:tc>
          <w:tcPr>
            <w:tcW w:w="296" w:type="dxa"/>
            <w:tcBorders>
              <w:top w:val="nil"/>
              <w:left w:val="nil"/>
              <w:bottom w:val="nil"/>
              <w:right w:val="nil"/>
            </w:tcBorders>
            <w:shd w:val="clear" w:color="auto" w:fill="auto"/>
            <w:noWrap/>
            <w:vAlign w:val="center"/>
            <w:hideMark/>
          </w:tcPr>
          <w:p w14:paraId="23DF8C8B"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p>
        </w:tc>
        <w:tc>
          <w:tcPr>
            <w:tcW w:w="882" w:type="dxa"/>
            <w:tcBorders>
              <w:top w:val="single" w:sz="4" w:space="0" w:color="18B3B9"/>
              <w:left w:val="nil"/>
              <w:bottom w:val="single" w:sz="8" w:space="0" w:color="18B3B9"/>
              <w:right w:val="nil"/>
            </w:tcBorders>
            <w:shd w:val="clear" w:color="auto" w:fill="auto"/>
            <w:noWrap/>
            <w:vAlign w:val="center"/>
            <w:hideMark/>
          </w:tcPr>
          <w:p w14:paraId="521F8610"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(46.0)%</w:t>
            </w:r>
          </w:p>
        </w:tc>
        <w:tc>
          <w:tcPr>
            <w:tcW w:w="859" w:type="dxa"/>
            <w:tcBorders>
              <w:top w:val="single" w:sz="4" w:space="0" w:color="18B3B9"/>
              <w:left w:val="nil"/>
              <w:bottom w:val="single" w:sz="8" w:space="0" w:color="18B3B9"/>
              <w:right w:val="nil"/>
            </w:tcBorders>
            <w:shd w:val="clear" w:color="auto" w:fill="auto"/>
            <w:noWrap/>
            <w:vAlign w:val="center"/>
            <w:hideMark/>
          </w:tcPr>
          <w:p w14:paraId="1E66FE4A"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(41.8)%</w:t>
            </w:r>
          </w:p>
        </w:tc>
      </w:tr>
      <w:tr w:rsidR="00200B38" w:rsidRPr="00200B38" w14:paraId="01C30BB9" w14:textId="77777777" w:rsidTr="00200B38">
        <w:trPr>
          <w:trHeight w:val="345"/>
          <w:jc w:val="center"/>
        </w:trPr>
        <w:tc>
          <w:tcPr>
            <w:tcW w:w="4678" w:type="dxa"/>
            <w:tcBorders>
              <w:top w:val="single" w:sz="4" w:space="0" w:color="18B3B9"/>
              <w:left w:val="nil"/>
              <w:bottom w:val="single" w:sz="8" w:space="0" w:color="18B3B9"/>
              <w:right w:val="nil"/>
            </w:tcBorders>
            <w:shd w:val="clear" w:color="auto" w:fill="auto"/>
            <w:noWrap/>
            <w:vAlign w:val="center"/>
            <w:hideMark/>
          </w:tcPr>
          <w:p w14:paraId="65C243B8" w14:textId="77777777" w:rsidR="00200B38" w:rsidRPr="00200B38" w:rsidRDefault="00200B38" w:rsidP="00200B38">
            <w:pPr>
              <w:spacing w:after="0" w:line="240" w:lineRule="auto"/>
              <w:jc w:val="lef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NET INCOME</w:t>
            </w:r>
          </w:p>
        </w:tc>
        <w:tc>
          <w:tcPr>
            <w:tcW w:w="627" w:type="dxa"/>
            <w:tcBorders>
              <w:top w:val="single" w:sz="4" w:space="0" w:color="18B3B9"/>
              <w:left w:val="nil"/>
              <w:bottom w:val="single" w:sz="8" w:space="0" w:color="18B3B9"/>
              <w:right w:val="nil"/>
            </w:tcBorders>
            <w:shd w:val="clear" w:color="000000" w:fill="F2F2F2"/>
            <w:noWrap/>
            <w:vAlign w:val="center"/>
            <w:hideMark/>
          </w:tcPr>
          <w:p w14:paraId="68ACE4F3"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36.4</w:t>
            </w:r>
          </w:p>
        </w:tc>
        <w:tc>
          <w:tcPr>
            <w:tcW w:w="716" w:type="dxa"/>
            <w:tcBorders>
              <w:top w:val="single" w:sz="4" w:space="0" w:color="18B3B9"/>
              <w:left w:val="nil"/>
              <w:bottom w:val="single" w:sz="8" w:space="0" w:color="18B3B9"/>
              <w:right w:val="nil"/>
            </w:tcBorders>
            <w:shd w:val="clear" w:color="auto" w:fill="auto"/>
            <w:noWrap/>
            <w:vAlign w:val="center"/>
            <w:hideMark/>
          </w:tcPr>
          <w:p w14:paraId="4BD828D3"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42.2</w:t>
            </w:r>
          </w:p>
        </w:tc>
        <w:tc>
          <w:tcPr>
            <w:tcW w:w="716" w:type="dxa"/>
            <w:tcBorders>
              <w:top w:val="single" w:sz="4" w:space="0" w:color="18B3B9"/>
              <w:left w:val="nil"/>
              <w:bottom w:val="single" w:sz="8" w:space="0" w:color="18B3B9"/>
              <w:right w:val="nil"/>
            </w:tcBorders>
            <w:shd w:val="clear" w:color="auto" w:fill="auto"/>
            <w:noWrap/>
            <w:vAlign w:val="center"/>
            <w:hideMark/>
          </w:tcPr>
          <w:p w14:paraId="3EA30BBB"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38.8</w:t>
            </w:r>
          </w:p>
        </w:tc>
        <w:tc>
          <w:tcPr>
            <w:tcW w:w="716" w:type="dxa"/>
            <w:tcBorders>
              <w:top w:val="single" w:sz="4" w:space="0" w:color="18B3B9"/>
              <w:left w:val="nil"/>
              <w:bottom w:val="single" w:sz="8" w:space="0" w:color="18B3B9"/>
              <w:right w:val="nil"/>
            </w:tcBorders>
            <w:shd w:val="clear" w:color="auto" w:fill="auto"/>
            <w:noWrap/>
            <w:vAlign w:val="center"/>
            <w:hideMark/>
          </w:tcPr>
          <w:p w14:paraId="1005E00D"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29.4</w:t>
            </w:r>
          </w:p>
        </w:tc>
        <w:tc>
          <w:tcPr>
            <w:tcW w:w="716" w:type="dxa"/>
            <w:tcBorders>
              <w:top w:val="single" w:sz="4" w:space="0" w:color="18B3B9"/>
              <w:left w:val="nil"/>
              <w:bottom w:val="single" w:sz="8" w:space="0" w:color="18B3B9"/>
              <w:right w:val="nil"/>
            </w:tcBorders>
            <w:shd w:val="clear" w:color="000000" w:fill="D1F0F1"/>
            <w:noWrap/>
            <w:vAlign w:val="center"/>
            <w:hideMark/>
          </w:tcPr>
          <w:p w14:paraId="4C710167"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12.7</w:t>
            </w:r>
          </w:p>
        </w:tc>
        <w:tc>
          <w:tcPr>
            <w:tcW w:w="296" w:type="dxa"/>
            <w:tcBorders>
              <w:top w:val="nil"/>
              <w:left w:val="nil"/>
              <w:bottom w:val="nil"/>
              <w:right w:val="nil"/>
            </w:tcBorders>
            <w:shd w:val="clear" w:color="auto" w:fill="auto"/>
            <w:noWrap/>
            <w:vAlign w:val="center"/>
            <w:hideMark/>
          </w:tcPr>
          <w:p w14:paraId="264FAC7A"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p>
        </w:tc>
        <w:tc>
          <w:tcPr>
            <w:tcW w:w="882" w:type="dxa"/>
            <w:tcBorders>
              <w:top w:val="single" w:sz="4" w:space="0" w:color="18B3B9"/>
              <w:left w:val="nil"/>
              <w:bottom w:val="single" w:sz="8" w:space="0" w:color="18B3B9"/>
              <w:right w:val="nil"/>
            </w:tcBorders>
            <w:shd w:val="clear" w:color="auto" w:fill="auto"/>
            <w:noWrap/>
            <w:vAlign w:val="center"/>
            <w:hideMark/>
          </w:tcPr>
          <w:p w14:paraId="599898EA"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(65.2)%</w:t>
            </w:r>
          </w:p>
        </w:tc>
        <w:tc>
          <w:tcPr>
            <w:tcW w:w="859" w:type="dxa"/>
            <w:tcBorders>
              <w:top w:val="single" w:sz="4" w:space="0" w:color="18B3B9"/>
              <w:left w:val="nil"/>
              <w:bottom w:val="single" w:sz="8" w:space="0" w:color="18B3B9"/>
              <w:right w:val="nil"/>
            </w:tcBorders>
            <w:shd w:val="clear" w:color="auto" w:fill="auto"/>
            <w:noWrap/>
            <w:vAlign w:val="center"/>
            <w:hideMark/>
          </w:tcPr>
          <w:p w14:paraId="4E2F259E"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(60.9)%</w:t>
            </w:r>
          </w:p>
        </w:tc>
      </w:tr>
      <w:tr w:rsidR="00200B38" w:rsidRPr="00200B38" w14:paraId="2AFC2002" w14:textId="77777777" w:rsidTr="00200B38">
        <w:trPr>
          <w:trHeight w:val="300"/>
          <w:jc w:val="center"/>
        </w:trPr>
        <w:tc>
          <w:tcPr>
            <w:tcW w:w="4678" w:type="dxa"/>
            <w:tcBorders>
              <w:top w:val="nil"/>
              <w:left w:val="nil"/>
              <w:bottom w:val="nil"/>
              <w:right w:val="nil"/>
            </w:tcBorders>
            <w:shd w:val="clear" w:color="auto" w:fill="auto"/>
            <w:noWrap/>
            <w:vAlign w:val="center"/>
            <w:hideMark/>
          </w:tcPr>
          <w:p w14:paraId="32A56C35" w14:textId="77777777" w:rsidR="00200B38" w:rsidRPr="00200B38" w:rsidRDefault="00200B38" w:rsidP="00200B38">
            <w:pPr>
              <w:spacing w:after="0" w:line="240" w:lineRule="auto"/>
              <w:jc w:val="lef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Income tax rate</w:t>
            </w:r>
          </w:p>
        </w:tc>
        <w:tc>
          <w:tcPr>
            <w:tcW w:w="627" w:type="dxa"/>
            <w:tcBorders>
              <w:top w:val="nil"/>
              <w:left w:val="nil"/>
              <w:bottom w:val="nil"/>
              <w:right w:val="nil"/>
            </w:tcBorders>
            <w:shd w:val="clear" w:color="auto" w:fill="auto"/>
            <w:noWrap/>
            <w:vAlign w:val="center"/>
            <w:hideMark/>
          </w:tcPr>
          <w:p w14:paraId="0F350959"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29.4%</w:t>
            </w:r>
          </w:p>
        </w:tc>
        <w:tc>
          <w:tcPr>
            <w:tcW w:w="716" w:type="dxa"/>
            <w:tcBorders>
              <w:top w:val="nil"/>
              <w:left w:val="nil"/>
              <w:bottom w:val="nil"/>
              <w:right w:val="nil"/>
            </w:tcBorders>
            <w:shd w:val="clear" w:color="auto" w:fill="auto"/>
            <w:noWrap/>
            <w:vAlign w:val="center"/>
            <w:hideMark/>
          </w:tcPr>
          <w:p w14:paraId="00B44885"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28.9%</w:t>
            </w:r>
          </w:p>
        </w:tc>
        <w:tc>
          <w:tcPr>
            <w:tcW w:w="716" w:type="dxa"/>
            <w:tcBorders>
              <w:top w:val="nil"/>
              <w:left w:val="nil"/>
              <w:bottom w:val="nil"/>
              <w:right w:val="nil"/>
            </w:tcBorders>
            <w:shd w:val="clear" w:color="auto" w:fill="auto"/>
            <w:noWrap/>
            <w:vAlign w:val="center"/>
            <w:hideMark/>
          </w:tcPr>
          <w:p w14:paraId="1F4EB7BD"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25.0%</w:t>
            </w:r>
          </w:p>
        </w:tc>
        <w:tc>
          <w:tcPr>
            <w:tcW w:w="716" w:type="dxa"/>
            <w:tcBorders>
              <w:top w:val="nil"/>
              <w:left w:val="nil"/>
              <w:bottom w:val="nil"/>
              <w:right w:val="nil"/>
            </w:tcBorders>
            <w:shd w:val="clear" w:color="auto" w:fill="auto"/>
            <w:noWrap/>
            <w:vAlign w:val="center"/>
            <w:hideMark/>
          </w:tcPr>
          <w:p w14:paraId="29EB8197"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29.1%</w:t>
            </w:r>
          </w:p>
        </w:tc>
        <w:tc>
          <w:tcPr>
            <w:tcW w:w="716" w:type="dxa"/>
            <w:tcBorders>
              <w:top w:val="nil"/>
              <w:left w:val="nil"/>
              <w:bottom w:val="nil"/>
              <w:right w:val="nil"/>
            </w:tcBorders>
            <w:shd w:val="clear" w:color="auto" w:fill="auto"/>
            <w:noWrap/>
            <w:vAlign w:val="center"/>
            <w:hideMark/>
          </w:tcPr>
          <w:p w14:paraId="4AD7381D"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50.5%</w:t>
            </w:r>
          </w:p>
        </w:tc>
        <w:tc>
          <w:tcPr>
            <w:tcW w:w="296" w:type="dxa"/>
            <w:tcBorders>
              <w:top w:val="nil"/>
              <w:left w:val="nil"/>
              <w:bottom w:val="nil"/>
              <w:right w:val="nil"/>
            </w:tcBorders>
            <w:shd w:val="clear" w:color="auto" w:fill="auto"/>
            <w:noWrap/>
            <w:vAlign w:val="center"/>
            <w:hideMark/>
          </w:tcPr>
          <w:p w14:paraId="3D907FD9"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p>
        </w:tc>
        <w:tc>
          <w:tcPr>
            <w:tcW w:w="882" w:type="dxa"/>
            <w:tcBorders>
              <w:top w:val="nil"/>
              <w:left w:val="nil"/>
              <w:bottom w:val="nil"/>
              <w:right w:val="nil"/>
            </w:tcBorders>
            <w:shd w:val="clear" w:color="auto" w:fill="auto"/>
            <w:noWrap/>
            <w:vAlign w:val="center"/>
            <w:hideMark/>
          </w:tcPr>
          <w:p w14:paraId="6B8578C1" w14:textId="77777777" w:rsidR="00200B38" w:rsidRPr="00200B38" w:rsidRDefault="00200B38" w:rsidP="00200B38">
            <w:pPr>
              <w:spacing w:after="0" w:line="240" w:lineRule="auto"/>
              <w:jc w:val="left"/>
              <w:rPr>
                <w:rFonts w:ascii="Times New Roman" w:eastAsia="Times New Roman" w:hAnsi="Times New Roman" w:cs="Times New Roman"/>
                <w:lang w:val="en-GB" w:eastAsia="en-GB"/>
              </w:rPr>
            </w:pPr>
          </w:p>
        </w:tc>
        <w:tc>
          <w:tcPr>
            <w:tcW w:w="859" w:type="dxa"/>
            <w:tcBorders>
              <w:top w:val="nil"/>
              <w:left w:val="nil"/>
              <w:bottom w:val="nil"/>
              <w:right w:val="nil"/>
            </w:tcBorders>
            <w:shd w:val="clear" w:color="auto" w:fill="auto"/>
            <w:noWrap/>
            <w:vAlign w:val="center"/>
            <w:hideMark/>
          </w:tcPr>
          <w:p w14:paraId="7A76648B" w14:textId="77777777" w:rsidR="00200B38" w:rsidRPr="00200B38" w:rsidRDefault="00200B38" w:rsidP="00200B38">
            <w:pPr>
              <w:spacing w:after="0" w:line="240" w:lineRule="auto"/>
              <w:jc w:val="right"/>
              <w:rPr>
                <w:rFonts w:ascii="Times New Roman" w:eastAsia="Times New Roman" w:hAnsi="Times New Roman" w:cs="Times New Roman"/>
                <w:lang w:val="en-GB" w:eastAsia="en-GB"/>
              </w:rPr>
            </w:pPr>
          </w:p>
        </w:tc>
      </w:tr>
    </w:tbl>
    <w:p w14:paraId="4EDF3136" w14:textId="77777777" w:rsidR="00BD4D1B" w:rsidRPr="00B30555" w:rsidRDefault="00BD4D1B" w:rsidP="00BD4D1B">
      <w:pPr>
        <w:spacing w:after="0" w:line="240" w:lineRule="auto"/>
        <w:rPr>
          <w:rFonts w:ascii="Arial Narrow" w:hAnsi="Arial Narrow" w:cs="Arial"/>
          <w:bCs/>
          <w:u w:val="single"/>
          <w:lang w:val="en-GB"/>
        </w:rPr>
      </w:pPr>
    </w:p>
    <w:p w14:paraId="636FD0D0" w14:textId="77777777" w:rsidR="00BD4D1B" w:rsidRPr="00B30555" w:rsidRDefault="00BD4D1B" w:rsidP="00BD4D1B">
      <w:pPr>
        <w:spacing w:after="0" w:line="240" w:lineRule="auto"/>
        <w:rPr>
          <w:rFonts w:ascii="Arial Narrow" w:hAnsi="Arial Narrow" w:cs="Arial"/>
          <w:bCs/>
          <w:u w:val="single"/>
          <w:lang w:val="en-GB"/>
        </w:rPr>
      </w:pPr>
    </w:p>
    <w:p w14:paraId="53AAA07D" w14:textId="77777777" w:rsidR="00BD4D1B" w:rsidRPr="00B30555" w:rsidRDefault="00BD4D1B" w:rsidP="00BD4D1B">
      <w:pPr>
        <w:spacing w:after="0" w:line="240" w:lineRule="auto"/>
        <w:rPr>
          <w:rFonts w:ascii="Arial Narrow" w:hAnsi="Arial Narrow" w:cs="Arial"/>
          <w:bCs/>
          <w:u w:val="single"/>
          <w:lang w:val="en-GB"/>
        </w:rPr>
      </w:pPr>
      <w:r w:rsidRPr="00B30555">
        <w:rPr>
          <w:rFonts w:ascii="Arial Narrow" w:hAnsi="Arial Narrow" w:cs="Arial"/>
          <w:bCs/>
          <w:u w:val="single"/>
          <w:lang w:val="en-GB"/>
        </w:rPr>
        <w:t>Cumulated results</w:t>
      </w:r>
    </w:p>
    <w:p w14:paraId="53DBCEF3" w14:textId="77777777" w:rsidR="00BD4D1B" w:rsidRPr="00B30555" w:rsidRDefault="00BD4D1B" w:rsidP="00BD4D1B">
      <w:pPr>
        <w:spacing w:after="0" w:line="240" w:lineRule="auto"/>
        <w:rPr>
          <w:rFonts w:ascii="Arial Narrow" w:hAnsi="Arial Narrow" w:cs="Arial"/>
          <w:bCs/>
          <w:u w:val="single"/>
          <w:lang w:val="en-GB"/>
        </w:rPr>
      </w:pPr>
    </w:p>
    <w:tbl>
      <w:tblPr>
        <w:tblW w:w="10239" w:type="dxa"/>
        <w:jc w:val="center"/>
        <w:tblLook w:val="04A0" w:firstRow="1" w:lastRow="0" w:firstColumn="1" w:lastColumn="0" w:noHBand="0" w:noVBand="1"/>
      </w:tblPr>
      <w:tblGrid>
        <w:gridCol w:w="4678"/>
        <w:gridCol w:w="627"/>
        <w:gridCol w:w="716"/>
        <w:gridCol w:w="764"/>
        <w:gridCol w:w="764"/>
        <w:gridCol w:w="716"/>
        <w:gridCol w:w="296"/>
        <w:gridCol w:w="882"/>
        <w:gridCol w:w="796"/>
      </w:tblGrid>
      <w:tr w:rsidR="00200B38" w:rsidRPr="00200B38" w14:paraId="14D8D6F4" w14:textId="77777777" w:rsidTr="00200B38">
        <w:trPr>
          <w:trHeight w:val="300"/>
          <w:jc w:val="center"/>
        </w:trPr>
        <w:tc>
          <w:tcPr>
            <w:tcW w:w="4678" w:type="dxa"/>
            <w:tcBorders>
              <w:top w:val="nil"/>
              <w:left w:val="nil"/>
              <w:bottom w:val="nil"/>
              <w:right w:val="nil"/>
            </w:tcBorders>
            <w:shd w:val="clear" w:color="000000" w:fill="03365F"/>
            <w:vAlign w:val="center"/>
            <w:hideMark/>
          </w:tcPr>
          <w:p w14:paraId="229534D0" w14:textId="77777777" w:rsidR="00200B38" w:rsidRPr="00200B38" w:rsidRDefault="00200B38" w:rsidP="00200B38">
            <w:pPr>
              <w:spacing w:after="0" w:line="240" w:lineRule="auto"/>
              <w:jc w:val="lef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Income statements items in €m - cumulated figures</w:t>
            </w:r>
          </w:p>
        </w:tc>
        <w:tc>
          <w:tcPr>
            <w:tcW w:w="627" w:type="dxa"/>
            <w:tcBorders>
              <w:top w:val="nil"/>
              <w:left w:val="nil"/>
              <w:bottom w:val="nil"/>
              <w:right w:val="nil"/>
            </w:tcBorders>
            <w:shd w:val="clear" w:color="000000" w:fill="03365F"/>
            <w:noWrap/>
            <w:vAlign w:val="center"/>
            <w:hideMark/>
          </w:tcPr>
          <w:p w14:paraId="5117E6EE"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Q1-19</w:t>
            </w:r>
          </w:p>
        </w:tc>
        <w:tc>
          <w:tcPr>
            <w:tcW w:w="716" w:type="dxa"/>
            <w:tcBorders>
              <w:top w:val="nil"/>
              <w:left w:val="nil"/>
              <w:bottom w:val="nil"/>
              <w:right w:val="nil"/>
            </w:tcBorders>
            <w:shd w:val="clear" w:color="000000" w:fill="03365F"/>
            <w:noWrap/>
            <w:vAlign w:val="center"/>
            <w:hideMark/>
          </w:tcPr>
          <w:p w14:paraId="1D030A5C"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H1-19</w:t>
            </w:r>
          </w:p>
        </w:tc>
        <w:tc>
          <w:tcPr>
            <w:tcW w:w="764" w:type="dxa"/>
            <w:tcBorders>
              <w:top w:val="nil"/>
              <w:left w:val="nil"/>
              <w:bottom w:val="nil"/>
              <w:right w:val="nil"/>
            </w:tcBorders>
            <w:shd w:val="clear" w:color="000000" w:fill="03365F"/>
            <w:noWrap/>
            <w:vAlign w:val="center"/>
            <w:hideMark/>
          </w:tcPr>
          <w:p w14:paraId="18B1335B"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9M-19</w:t>
            </w:r>
          </w:p>
        </w:tc>
        <w:tc>
          <w:tcPr>
            <w:tcW w:w="764" w:type="dxa"/>
            <w:tcBorders>
              <w:top w:val="nil"/>
              <w:left w:val="nil"/>
              <w:bottom w:val="nil"/>
              <w:right w:val="nil"/>
            </w:tcBorders>
            <w:shd w:val="clear" w:color="000000" w:fill="03365F"/>
            <w:noWrap/>
            <w:vAlign w:val="center"/>
            <w:hideMark/>
          </w:tcPr>
          <w:p w14:paraId="610BEBEB"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FY-19</w:t>
            </w:r>
          </w:p>
        </w:tc>
        <w:tc>
          <w:tcPr>
            <w:tcW w:w="716" w:type="dxa"/>
            <w:tcBorders>
              <w:top w:val="nil"/>
              <w:left w:val="nil"/>
              <w:bottom w:val="nil"/>
              <w:right w:val="nil"/>
            </w:tcBorders>
            <w:shd w:val="clear" w:color="000000" w:fill="18B3B9"/>
            <w:noWrap/>
            <w:vAlign w:val="center"/>
            <w:hideMark/>
          </w:tcPr>
          <w:p w14:paraId="2166899D"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Q1-20</w:t>
            </w:r>
          </w:p>
        </w:tc>
        <w:tc>
          <w:tcPr>
            <w:tcW w:w="296" w:type="dxa"/>
            <w:tcBorders>
              <w:top w:val="nil"/>
              <w:left w:val="nil"/>
              <w:bottom w:val="nil"/>
              <w:right w:val="nil"/>
            </w:tcBorders>
            <w:shd w:val="clear" w:color="auto" w:fill="auto"/>
            <w:noWrap/>
            <w:vAlign w:val="center"/>
            <w:hideMark/>
          </w:tcPr>
          <w:p w14:paraId="75BA0D72" w14:textId="77777777" w:rsidR="00200B38" w:rsidRPr="00200B38" w:rsidRDefault="00200B38" w:rsidP="00200B38">
            <w:pPr>
              <w:spacing w:after="0" w:line="240" w:lineRule="auto"/>
              <w:jc w:val="right"/>
              <w:rPr>
                <w:rFonts w:ascii="Arial Narrow" w:eastAsia="Times New Roman" w:hAnsi="Arial Narrow" w:cs="Calibri"/>
                <w:b/>
                <w:bCs/>
                <w:color w:val="FFFFFF"/>
                <w:lang w:val="en-GB" w:eastAsia="en-GB"/>
              </w:rPr>
            </w:pPr>
          </w:p>
        </w:tc>
        <w:tc>
          <w:tcPr>
            <w:tcW w:w="882" w:type="dxa"/>
            <w:tcBorders>
              <w:top w:val="nil"/>
              <w:left w:val="nil"/>
              <w:bottom w:val="nil"/>
              <w:right w:val="nil"/>
            </w:tcBorders>
            <w:shd w:val="clear" w:color="000000" w:fill="03365F"/>
            <w:noWrap/>
            <w:vAlign w:val="center"/>
            <w:hideMark/>
          </w:tcPr>
          <w:p w14:paraId="7DA2BE34" w14:textId="77777777" w:rsidR="00200B38" w:rsidRPr="00200B38" w:rsidRDefault="00200B38" w:rsidP="00200B38">
            <w:pPr>
              <w:spacing w:after="0" w:line="240" w:lineRule="auto"/>
              <w:jc w:val="center"/>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w:t>
            </w:r>
          </w:p>
        </w:tc>
        <w:tc>
          <w:tcPr>
            <w:tcW w:w="796" w:type="dxa"/>
            <w:tcBorders>
              <w:top w:val="nil"/>
              <w:left w:val="nil"/>
              <w:bottom w:val="nil"/>
              <w:right w:val="nil"/>
            </w:tcBorders>
            <w:shd w:val="clear" w:color="000000" w:fill="03365F"/>
            <w:noWrap/>
            <w:vAlign w:val="center"/>
            <w:hideMark/>
          </w:tcPr>
          <w:p w14:paraId="6767D164" w14:textId="77777777" w:rsidR="00200B38" w:rsidRPr="00200B38" w:rsidRDefault="00200B38" w:rsidP="00200B38">
            <w:pPr>
              <w:spacing w:after="0" w:line="240" w:lineRule="auto"/>
              <w:jc w:val="center"/>
              <w:rPr>
                <w:rFonts w:ascii="Arial Narrow" w:eastAsia="Times New Roman" w:hAnsi="Arial Narrow" w:cs="Calibri"/>
                <w:b/>
                <w:bCs/>
                <w:color w:val="FFFFFF"/>
                <w:lang w:val="en-GB" w:eastAsia="en-GB"/>
              </w:rPr>
            </w:pPr>
            <w:r w:rsidRPr="00200B38">
              <w:rPr>
                <w:rFonts w:ascii="Arial Narrow" w:eastAsia="Times New Roman" w:hAnsi="Arial Narrow" w:cs="Calibri"/>
                <w:b/>
                <w:bCs/>
                <w:color w:val="FFFFFF"/>
                <w:lang w:val="en-GB" w:eastAsia="en-GB"/>
              </w:rPr>
              <w:t>% ex. FX*</w:t>
            </w:r>
          </w:p>
        </w:tc>
      </w:tr>
      <w:tr w:rsidR="00200B38" w:rsidRPr="00200B38" w14:paraId="3648F218" w14:textId="77777777" w:rsidTr="00200B38">
        <w:trPr>
          <w:trHeight w:val="300"/>
          <w:jc w:val="center"/>
        </w:trPr>
        <w:tc>
          <w:tcPr>
            <w:tcW w:w="4678" w:type="dxa"/>
            <w:tcBorders>
              <w:top w:val="single" w:sz="4" w:space="0" w:color="BFBFBF"/>
              <w:left w:val="nil"/>
              <w:bottom w:val="single" w:sz="4" w:space="0" w:color="BFBFBF"/>
              <w:right w:val="nil"/>
            </w:tcBorders>
            <w:shd w:val="clear" w:color="auto" w:fill="auto"/>
            <w:noWrap/>
            <w:vAlign w:val="bottom"/>
            <w:hideMark/>
          </w:tcPr>
          <w:p w14:paraId="5DBAF826" w14:textId="77777777" w:rsidR="00200B38" w:rsidRPr="00200B38" w:rsidRDefault="00200B38" w:rsidP="00200B38">
            <w:pPr>
              <w:spacing w:after="0" w:line="240" w:lineRule="auto"/>
              <w:jc w:val="left"/>
              <w:rPr>
                <w:rFonts w:ascii="Arial Narrow" w:eastAsia="Times New Roman" w:hAnsi="Arial Narrow" w:cs="Calibri"/>
                <w:lang w:val="en-GB" w:eastAsia="en-GB"/>
              </w:rPr>
            </w:pPr>
            <w:r w:rsidRPr="00200B38">
              <w:rPr>
                <w:rFonts w:ascii="Arial Narrow" w:eastAsia="Times New Roman" w:hAnsi="Arial Narrow" w:cs="Calibri"/>
                <w:lang w:val="en-GB" w:eastAsia="en-GB"/>
              </w:rPr>
              <w:t>Gross earned premiums</w:t>
            </w:r>
          </w:p>
        </w:tc>
        <w:tc>
          <w:tcPr>
            <w:tcW w:w="627" w:type="dxa"/>
            <w:tcBorders>
              <w:top w:val="single" w:sz="4" w:space="0" w:color="BFBFBF"/>
              <w:left w:val="nil"/>
              <w:bottom w:val="single" w:sz="4" w:space="0" w:color="BFBFBF"/>
              <w:right w:val="nil"/>
            </w:tcBorders>
            <w:shd w:val="clear" w:color="000000" w:fill="F2F2F2"/>
            <w:noWrap/>
            <w:vAlign w:val="center"/>
            <w:hideMark/>
          </w:tcPr>
          <w:p w14:paraId="68CEBBC5"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299.0</w:t>
            </w:r>
          </w:p>
        </w:tc>
        <w:tc>
          <w:tcPr>
            <w:tcW w:w="716" w:type="dxa"/>
            <w:tcBorders>
              <w:top w:val="single" w:sz="4" w:space="0" w:color="BFBFBF"/>
              <w:left w:val="nil"/>
              <w:bottom w:val="single" w:sz="4" w:space="0" w:color="BFBFBF"/>
              <w:right w:val="nil"/>
            </w:tcBorders>
            <w:shd w:val="clear" w:color="auto" w:fill="auto"/>
            <w:noWrap/>
            <w:vAlign w:val="center"/>
            <w:hideMark/>
          </w:tcPr>
          <w:p w14:paraId="5E0658F8"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605.3</w:t>
            </w:r>
          </w:p>
        </w:tc>
        <w:tc>
          <w:tcPr>
            <w:tcW w:w="764" w:type="dxa"/>
            <w:tcBorders>
              <w:top w:val="single" w:sz="4" w:space="0" w:color="BFBFBF"/>
              <w:left w:val="nil"/>
              <w:bottom w:val="single" w:sz="4" w:space="0" w:color="BFBFBF"/>
              <w:right w:val="nil"/>
            </w:tcBorders>
            <w:shd w:val="clear" w:color="auto" w:fill="auto"/>
            <w:noWrap/>
            <w:vAlign w:val="center"/>
            <w:hideMark/>
          </w:tcPr>
          <w:p w14:paraId="34900B38"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917.9</w:t>
            </w:r>
          </w:p>
        </w:tc>
        <w:tc>
          <w:tcPr>
            <w:tcW w:w="764" w:type="dxa"/>
            <w:tcBorders>
              <w:top w:val="single" w:sz="4" w:space="0" w:color="BFBFBF"/>
              <w:left w:val="nil"/>
              <w:bottom w:val="single" w:sz="4" w:space="0" w:color="BFBFBF"/>
              <w:right w:val="nil"/>
            </w:tcBorders>
            <w:shd w:val="clear" w:color="auto" w:fill="auto"/>
            <w:noWrap/>
            <w:vAlign w:val="center"/>
            <w:hideMark/>
          </w:tcPr>
          <w:p w14:paraId="150B371E"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1,235.6</w:t>
            </w:r>
          </w:p>
        </w:tc>
        <w:tc>
          <w:tcPr>
            <w:tcW w:w="716" w:type="dxa"/>
            <w:tcBorders>
              <w:top w:val="single" w:sz="4" w:space="0" w:color="BFBFBF"/>
              <w:left w:val="nil"/>
              <w:bottom w:val="single" w:sz="4" w:space="0" w:color="BFBFBF"/>
              <w:right w:val="nil"/>
            </w:tcBorders>
            <w:shd w:val="clear" w:color="000000" w:fill="D1F0F1"/>
            <w:noWrap/>
            <w:vAlign w:val="center"/>
            <w:hideMark/>
          </w:tcPr>
          <w:p w14:paraId="6A4E3038"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301.2</w:t>
            </w:r>
          </w:p>
        </w:tc>
        <w:tc>
          <w:tcPr>
            <w:tcW w:w="296" w:type="dxa"/>
            <w:tcBorders>
              <w:top w:val="nil"/>
              <w:left w:val="nil"/>
              <w:bottom w:val="nil"/>
              <w:right w:val="nil"/>
            </w:tcBorders>
            <w:shd w:val="clear" w:color="auto" w:fill="auto"/>
            <w:noWrap/>
            <w:vAlign w:val="center"/>
            <w:hideMark/>
          </w:tcPr>
          <w:p w14:paraId="549CC8A2" w14:textId="77777777" w:rsidR="00200B38" w:rsidRPr="00200B38" w:rsidRDefault="00200B38" w:rsidP="00200B38">
            <w:pPr>
              <w:spacing w:after="0" w:line="240" w:lineRule="auto"/>
              <w:jc w:val="right"/>
              <w:rPr>
                <w:rFonts w:ascii="Arial Narrow" w:eastAsia="Times New Roman" w:hAnsi="Arial Narrow" w:cs="Calibri"/>
                <w:lang w:val="en-GB" w:eastAsia="en-GB"/>
              </w:rPr>
            </w:pPr>
          </w:p>
        </w:tc>
        <w:tc>
          <w:tcPr>
            <w:tcW w:w="882" w:type="dxa"/>
            <w:tcBorders>
              <w:top w:val="single" w:sz="4" w:space="0" w:color="BFBFBF"/>
              <w:left w:val="nil"/>
              <w:bottom w:val="single" w:sz="4" w:space="0" w:color="BFBFBF"/>
              <w:right w:val="nil"/>
            </w:tcBorders>
            <w:shd w:val="clear" w:color="auto" w:fill="auto"/>
            <w:noWrap/>
            <w:vAlign w:val="center"/>
            <w:hideMark/>
          </w:tcPr>
          <w:p w14:paraId="1DC9C519"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+0.7%</w:t>
            </w:r>
          </w:p>
        </w:tc>
        <w:tc>
          <w:tcPr>
            <w:tcW w:w="796" w:type="dxa"/>
            <w:tcBorders>
              <w:top w:val="single" w:sz="4" w:space="0" w:color="BFBFBF"/>
              <w:left w:val="nil"/>
              <w:bottom w:val="single" w:sz="4" w:space="0" w:color="BFBFBF"/>
              <w:right w:val="nil"/>
            </w:tcBorders>
            <w:shd w:val="clear" w:color="auto" w:fill="auto"/>
            <w:noWrap/>
            <w:vAlign w:val="center"/>
            <w:hideMark/>
          </w:tcPr>
          <w:p w14:paraId="609B062E"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+0.3%</w:t>
            </w:r>
          </w:p>
        </w:tc>
      </w:tr>
      <w:tr w:rsidR="00200B38" w:rsidRPr="00200B38" w14:paraId="6CA5E21F" w14:textId="77777777" w:rsidTr="00200B38">
        <w:trPr>
          <w:trHeight w:val="300"/>
          <w:jc w:val="center"/>
        </w:trPr>
        <w:tc>
          <w:tcPr>
            <w:tcW w:w="4678" w:type="dxa"/>
            <w:tcBorders>
              <w:top w:val="nil"/>
              <w:left w:val="nil"/>
              <w:bottom w:val="nil"/>
              <w:right w:val="nil"/>
            </w:tcBorders>
            <w:shd w:val="clear" w:color="auto" w:fill="auto"/>
            <w:noWrap/>
            <w:vAlign w:val="bottom"/>
            <w:hideMark/>
          </w:tcPr>
          <w:p w14:paraId="277C6554" w14:textId="77777777" w:rsidR="00200B38" w:rsidRPr="00200B38" w:rsidRDefault="00200B38" w:rsidP="00200B38">
            <w:pPr>
              <w:spacing w:after="0" w:line="240" w:lineRule="auto"/>
              <w:jc w:val="left"/>
              <w:rPr>
                <w:rFonts w:ascii="Arial Narrow" w:eastAsia="Times New Roman" w:hAnsi="Arial Narrow" w:cs="Calibri"/>
                <w:lang w:val="en-GB" w:eastAsia="en-GB"/>
              </w:rPr>
            </w:pPr>
            <w:r w:rsidRPr="00200B38">
              <w:rPr>
                <w:rFonts w:ascii="Arial Narrow" w:eastAsia="Times New Roman" w:hAnsi="Arial Narrow" w:cs="Calibri"/>
                <w:lang w:val="en-GB" w:eastAsia="en-GB"/>
              </w:rPr>
              <w:t>Services revenue</w:t>
            </w:r>
          </w:p>
        </w:tc>
        <w:tc>
          <w:tcPr>
            <w:tcW w:w="627" w:type="dxa"/>
            <w:tcBorders>
              <w:top w:val="nil"/>
              <w:left w:val="nil"/>
              <w:bottom w:val="nil"/>
              <w:right w:val="nil"/>
            </w:tcBorders>
            <w:shd w:val="clear" w:color="000000" w:fill="F2F2F2"/>
            <w:noWrap/>
            <w:vAlign w:val="center"/>
            <w:hideMark/>
          </w:tcPr>
          <w:p w14:paraId="6A47FC7D"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66.4</w:t>
            </w:r>
          </w:p>
        </w:tc>
        <w:tc>
          <w:tcPr>
            <w:tcW w:w="716" w:type="dxa"/>
            <w:tcBorders>
              <w:top w:val="nil"/>
              <w:left w:val="nil"/>
              <w:bottom w:val="nil"/>
              <w:right w:val="nil"/>
            </w:tcBorders>
            <w:shd w:val="clear" w:color="auto" w:fill="auto"/>
            <w:noWrap/>
            <w:vAlign w:val="center"/>
            <w:hideMark/>
          </w:tcPr>
          <w:p w14:paraId="66AE315B"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127.3</w:t>
            </w:r>
          </w:p>
        </w:tc>
        <w:tc>
          <w:tcPr>
            <w:tcW w:w="764" w:type="dxa"/>
            <w:tcBorders>
              <w:top w:val="nil"/>
              <w:left w:val="nil"/>
              <w:bottom w:val="nil"/>
              <w:right w:val="nil"/>
            </w:tcBorders>
            <w:shd w:val="clear" w:color="auto" w:fill="auto"/>
            <w:noWrap/>
            <w:vAlign w:val="center"/>
            <w:hideMark/>
          </w:tcPr>
          <w:p w14:paraId="43A86A1E"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185.6</w:t>
            </w:r>
          </w:p>
        </w:tc>
        <w:tc>
          <w:tcPr>
            <w:tcW w:w="764" w:type="dxa"/>
            <w:tcBorders>
              <w:top w:val="nil"/>
              <w:left w:val="nil"/>
              <w:bottom w:val="nil"/>
              <w:right w:val="nil"/>
            </w:tcBorders>
            <w:shd w:val="clear" w:color="auto" w:fill="auto"/>
            <w:noWrap/>
            <w:vAlign w:val="center"/>
            <w:hideMark/>
          </w:tcPr>
          <w:p w14:paraId="2EFBD69E"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245.5</w:t>
            </w:r>
          </w:p>
        </w:tc>
        <w:tc>
          <w:tcPr>
            <w:tcW w:w="716" w:type="dxa"/>
            <w:tcBorders>
              <w:top w:val="nil"/>
              <w:left w:val="nil"/>
              <w:bottom w:val="nil"/>
              <w:right w:val="nil"/>
            </w:tcBorders>
            <w:shd w:val="clear" w:color="000000" w:fill="D1F0F1"/>
            <w:noWrap/>
            <w:vAlign w:val="center"/>
            <w:hideMark/>
          </w:tcPr>
          <w:p w14:paraId="0E653D73"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69.3</w:t>
            </w:r>
          </w:p>
        </w:tc>
        <w:tc>
          <w:tcPr>
            <w:tcW w:w="296" w:type="dxa"/>
            <w:tcBorders>
              <w:top w:val="nil"/>
              <w:left w:val="nil"/>
              <w:bottom w:val="nil"/>
              <w:right w:val="nil"/>
            </w:tcBorders>
            <w:shd w:val="clear" w:color="auto" w:fill="auto"/>
            <w:noWrap/>
            <w:vAlign w:val="center"/>
            <w:hideMark/>
          </w:tcPr>
          <w:p w14:paraId="5CF31448" w14:textId="77777777" w:rsidR="00200B38" w:rsidRPr="00200B38" w:rsidRDefault="00200B38" w:rsidP="00200B38">
            <w:pPr>
              <w:spacing w:after="0" w:line="240" w:lineRule="auto"/>
              <w:jc w:val="right"/>
              <w:rPr>
                <w:rFonts w:ascii="Arial Narrow" w:eastAsia="Times New Roman" w:hAnsi="Arial Narrow" w:cs="Calibri"/>
                <w:lang w:val="en-GB" w:eastAsia="en-GB"/>
              </w:rPr>
            </w:pPr>
          </w:p>
        </w:tc>
        <w:tc>
          <w:tcPr>
            <w:tcW w:w="882" w:type="dxa"/>
            <w:tcBorders>
              <w:top w:val="nil"/>
              <w:left w:val="nil"/>
              <w:bottom w:val="nil"/>
              <w:right w:val="nil"/>
            </w:tcBorders>
            <w:shd w:val="clear" w:color="auto" w:fill="auto"/>
            <w:noWrap/>
            <w:vAlign w:val="center"/>
            <w:hideMark/>
          </w:tcPr>
          <w:p w14:paraId="745DEE23"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+4.3%</w:t>
            </w:r>
          </w:p>
        </w:tc>
        <w:tc>
          <w:tcPr>
            <w:tcW w:w="796" w:type="dxa"/>
            <w:tcBorders>
              <w:top w:val="nil"/>
              <w:left w:val="nil"/>
              <w:bottom w:val="nil"/>
              <w:right w:val="nil"/>
            </w:tcBorders>
            <w:shd w:val="clear" w:color="auto" w:fill="auto"/>
            <w:noWrap/>
            <w:vAlign w:val="center"/>
            <w:hideMark/>
          </w:tcPr>
          <w:p w14:paraId="5285A8B4"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+3.6%</w:t>
            </w:r>
          </w:p>
        </w:tc>
      </w:tr>
      <w:tr w:rsidR="00200B38" w:rsidRPr="00200B38" w14:paraId="71227F81" w14:textId="77777777" w:rsidTr="00200B38">
        <w:trPr>
          <w:trHeight w:val="300"/>
          <w:jc w:val="center"/>
        </w:trPr>
        <w:tc>
          <w:tcPr>
            <w:tcW w:w="4678" w:type="dxa"/>
            <w:tcBorders>
              <w:top w:val="single" w:sz="4" w:space="0" w:color="BFBFBF"/>
              <w:left w:val="nil"/>
              <w:bottom w:val="single" w:sz="8" w:space="0" w:color="BFBFBF"/>
              <w:right w:val="nil"/>
            </w:tcBorders>
            <w:shd w:val="clear" w:color="auto" w:fill="auto"/>
            <w:noWrap/>
            <w:vAlign w:val="bottom"/>
            <w:hideMark/>
          </w:tcPr>
          <w:p w14:paraId="32E0AC35" w14:textId="77777777" w:rsidR="00200B38" w:rsidRPr="00200B38" w:rsidRDefault="00200B38" w:rsidP="00200B38">
            <w:pPr>
              <w:spacing w:after="0" w:line="240" w:lineRule="auto"/>
              <w:jc w:val="lef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REVENUE</w:t>
            </w:r>
          </w:p>
        </w:tc>
        <w:tc>
          <w:tcPr>
            <w:tcW w:w="627" w:type="dxa"/>
            <w:tcBorders>
              <w:top w:val="single" w:sz="4" w:space="0" w:color="BFBFBF"/>
              <w:left w:val="nil"/>
              <w:bottom w:val="single" w:sz="8" w:space="0" w:color="BFBFBF"/>
              <w:right w:val="nil"/>
            </w:tcBorders>
            <w:shd w:val="clear" w:color="000000" w:fill="F2F2F2"/>
            <w:noWrap/>
            <w:vAlign w:val="center"/>
            <w:hideMark/>
          </w:tcPr>
          <w:p w14:paraId="703B4B49"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365.5</w:t>
            </w:r>
          </w:p>
        </w:tc>
        <w:tc>
          <w:tcPr>
            <w:tcW w:w="716" w:type="dxa"/>
            <w:tcBorders>
              <w:top w:val="single" w:sz="4" w:space="0" w:color="BFBFBF"/>
              <w:left w:val="nil"/>
              <w:bottom w:val="single" w:sz="8" w:space="0" w:color="BFBFBF"/>
              <w:right w:val="nil"/>
            </w:tcBorders>
            <w:shd w:val="clear" w:color="auto" w:fill="auto"/>
            <w:noWrap/>
            <w:vAlign w:val="center"/>
            <w:hideMark/>
          </w:tcPr>
          <w:p w14:paraId="2DC42E26"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732.6</w:t>
            </w:r>
          </w:p>
        </w:tc>
        <w:tc>
          <w:tcPr>
            <w:tcW w:w="764" w:type="dxa"/>
            <w:tcBorders>
              <w:top w:val="single" w:sz="4" w:space="0" w:color="BFBFBF"/>
              <w:left w:val="nil"/>
              <w:bottom w:val="single" w:sz="8" w:space="0" w:color="BFBFBF"/>
              <w:right w:val="nil"/>
            </w:tcBorders>
            <w:shd w:val="clear" w:color="auto" w:fill="auto"/>
            <w:noWrap/>
            <w:vAlign w:val="center"/>
            <w:hideMark/>
          </w:tcPr>
          <w:p w14:paraId="5A2B40BE"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1,103.4</w:t>
            </w:r>
          </w:p>
        </w:tc>
        <w:tc>
          <w:tcPr>
            <w:tcW w:w="764" w:type="dxa"/>
            <w:tcBorders>
              <w:top w:val="single" w:sz="4" w:space="0" w:color="BFBFBF"/>
              <w:left w:val="nil"/>
              <w:bottom w:val="single" w:sz="8" w:space="0" w:color="BFBFBF"/>
              <w:right w:val="nil"/>
            </w:tcBorders>
            <w:shd w:val="clear" w:color="auto" w:fill="auto"/>
            <w:noWrap/>
            <w:vAlign w:val="center"/>
            <w:hideMark/>
          </w:tcPr>
          <w:p w14:paraId="485FAA2A"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1,481.1</w:t>
            </w:r>
          </w:p>
        </w:tc>
        <w:tc>
          <w:tcPr>
            <w:tcW w:w="716" w:type="dxa"/>
            <w:tcBorders>
              <w:top w:val="single" w:sz="4" w:space="0" w:color="BFBFBF"/>
              <w:left w:val="nil"/>
              <w:bottom w:val="single" w:sz="8" w:space="0" w:color="BFBFBF"/>
              <w:right w:val="nil"/>
            </w:tcBorders>
            <w:shd w:val="clear" w:color="000000" w:fill="D1F0F1"/>
            <w:noWrap/>
            <w:vAlign w:val="center"/>
            <w:hideMark/>
          </w:tcPr>
          <w:p w14:paraId="190FF1BD"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370.5</w:t>
            </w:r>
          </w:p>
        </w:tc>
        <w:tc>
          <w:tcPr>
            <w:tcW w:w="296" w:type="dxa"/>
            <w:tcBorders>
              <w:top w:val="nil"/>
              <w:left w:val="nil"/>
              <w:bottom w:val="nil"/>
              <w:right w:val="nil"/>
            </w:tcBorders>
            <w:shd w:val="clear" w:color="auto" w:fill="auto"/>
            <w:noWrap/>
            <w:vAlign w:val="center"/>
            <w:hideMark/>
          </w:tcPr>
          <w:p w14:paraId="13B9A965"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p>
        </w:tc>
        <w:tc>
          <w:tcPr>
            <w:tcW w:w="882" w:type="dxa"/>
            <w:tcBorders>
              <w:top w:val="single" w:sz="4" w:space="0" w:color="BFBFBF"/>
              <w:left w:val="nil"/>
              <w:bottom w:val="single" w:sz="8" w:space="0" w:color="BFBFBF"/>
              <w:right w:val="nil"/>
            </w:tcBorders>
            <w:shd w:val="clear" w:color="auto" w:fill="auto"/>
            <w:noWrap/>
            <w:vAlign w:val="center"/>
            <w:hideMark/>
          </w:tcPr>
          <w:p w14:paraId="54A430FA"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+1.4%</w:t>
            </w:r>
          </w:p>
        </w:tc>
        <w:tc>
          <w:tcPr>
            <w:tcW w:w="796" w:type="dxa"/>
            <w:tcBorders>
              <w:top w:val="single" w:sz="4" w:space="0" w:color="BFBFBF"/>
              <w:left w:val="nil"/>
              <w:bottom w:val="single" w:sz="8" w:space="0" w:color="BFBFBF"/>
              <w:right w:val="nil"/>
            </w:tcBorders>
            <w:shd w:val="clear" w:color="auto" w:fill="auto"/>
            <w:noWrap/>
            <w:vAlign w:val="center"/>
            <w:hideMark/>
          </w:tcPr>
          <w:p w14:paraId="39F7C3E2" w14:textId="77777777" w:rsidR="00200B38" w:rsidRPr="00200B38" w:rsidRDefault="00200B38" w:rsidP="00200B38">
            <w:pPr>
              <w:spacing w:after="0" w:line="240" w:lineRule="auto"/>
              <w:jc w:val="right"/>
              <w:rPr>
                <w:rFonts w:ascii="Arial Narrow" w:eastAsia="Times New Roman" w:hAnsi="Arial Narrow" w:cs="Calibri"/>
                <w:b/>
                <w:bCs/>
                <w:lang w:val="en-GB" w:eastAsia="en-GB"/>
              </w:rPr>
            </w:pPr>
            <w:r w:rsidRPr="00200B38">
              <w:rPr>
                <w:rFonts w:ascii="Arial Narrow" w:eastAsia="Times New Roman" w:hAnsi="Arial Narrow" w:cs="Calibri"/>
                <w:b/>
                <w:bCs/>
                <w:lang w:val="en-GB" w:eastAsia="en-GB"/>
              </w:rPr>
              <w:t>+0.9%</w:t>
            </w:r>
          </w:p>
        </w:tc>
      </w:tr>
      <w:tr w:rsidR="00200B38" w:rsidRPr="00200B38" w14:paraId="29097E1E" w14:textId="77777777" w:rsidTr="00200B38">
        <w:trPr>
          <w:trHeight w:val="315"/>
          <w:jc w:val="center"/>
        </w:trPr>
        <w:tc>
          <w:tcPr>
            <w:tcW w:w="4678" w:type="dxa"/>
            <w:tcBorders>
              <w:top w:val="single" w:sz="4" w:space="0" w:color="03365F"/>
              <w:left w:val="nil"/>
              <w:bottom w:val="single" w:sz="8" w:space="0" w:color="03365F"/>
              <w:right w:val="nil"/>
            </w:tcBorders>
            <w:shd w:val="clear" w:color="auto" w:fill="auto"/>
            <w:vAlign w:val="bottom"/>
            <w:hideMark/>
          </w:tcPr>
          <w:p w14:paraId="53825FDD" w14:textId="77777777" w:rsidR="00200B38" w:rsidRPr="00200B38" w:rsidRDefault="00200B38" w:rsidP="00200B38">
            <w:pPr>
              <w:spacing w:after="0" w:line="240" w:lineRule="auto"/>
              <w:jc w:val="lef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UNDERWRITING INCOME(LOSS) AFTER REINSURANCE</w:t>
            </w:r>
          </w:p>
        </w:tc>
        <w:tc>
          <w:tcPr>
            <w:tcW w:w="627" w:type="dxa"/>
            <w:tcBorders>
              <w:top w:val="single" w:sz="4" w:space="0" w:color="03365F"/>
              <w:left w:val="nil"/>
              <w:bottom w:val="single" w:sz="8" w:space="0" w:color="03365F"/>
              <w:right w:val="nil"/>
            </w:tcBorders>
            <w:shd w:val="clear" w:color="000000" w:fill="F2F2F2"/>
            <w:noWrap/>
            <w:vAlign w:val="center"/>
            <w:hideMark/>
          </w:tcPr>
          <w:p w14:paraId="4BA47F9F"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52.0</w:t>
            </w:r>
          </w:p>
        </w:tc>
        <w:tc>
          <w:tcPr>
            <w:tcW w:w="716" w:type="dxa"/>
            <w:tcBorders>
              <w:top w:val="single" w:sz="4" w:space="0" w:color="03365F"/>
              <w:left w:val="nil"/>
              <w:bottom w:val="single" w:sz="8" w:space="0" w:color="03365F"/>
              <w:right w:val="nil"/>
            </w:tcBorders>
            <w:shd w:val="clear" w:color="auto" w:fill="auto"/>
            <w:noWrap/>
            <w:vAlign w:val="center"/>
            <w:hideMark/>
          </w:tcPr>
          <w:p w14:paraId="00C0C48B"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99.5</w:t>
            </w:r>
          </w:p>
        </w:tc>
        <w:tc>
          <w:tcPr>
            <w:tcW w:w="764" w:type="dxa"/>
            <w:tcBorders>
              <w:top w:val="single" w:sz="4" w:space="0" w:color="03365F"/>
              <w:left w:val="nil"/>
              <w:bottom w:val="single" w:sz="8" w:space="0" w:color="03365F"/>
              <w:right w:val="nil"/>
            </w:tcBorders>
            <w:shd w:val="clear" w:color="auto" w:fill="auto"/>
            <w:noWrap/>
            <w:vAlign w:val="center"/>
            <w:hideMark/>
          </w:tcPr>
          <w:p w14:paraId="7E40AA6F"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145.7</w:t>
            </w:r>
          </w:p>
        </w:tc>
        <w:tc>
          <w:tcPr>
            <w:tcW w:w="764" w:type="dxa"/>
            <w:tcBorders>
              <w:top w:val="single" w:sz="4" w:space="0" w:color="03365F"/>
              <w:left w:val="nil"/>
              <w:bottom w:val="single" w:sz="8" w:space="0" w:color="03365F"/>
              <w:right w:val="nil"/>
            </w:tcBorders>
            <w:shd w:val="clear" w:color="auto" w:fill="auto"/>
            <w:noWrap/>
            <w:vAlign w:val="center"/>
            <w:hideMark/>
          </w:tcPr>
          <w:p w14:paraId="11D76F65"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187.9</w:t>
            </w:r>
          </w:p>
        </w:tc>
        <w:tc>
          <w:tcPr>
            <w:tcW w:w="716" w:type="dxa"/>
            <w:tcBorders>
              <w:top w:val="single" w:sz="4" w:space="0" w:color="03365F"/>
              <w:left w:val="nil"/>
              <w:bottom w:val="single" w:sz="8" w:space="0" w:color="03365F"/>
              <w:right w:val="nil"/>
            </w:tcBorders>
            <w:shd w:val="clear" w:color="000000" w:fill="D1F0F1"/>
            <w:noWrap/>
            <w:vAlign w:val="center"/>
            <w:hideMark/>
          </w:tcPr>
          <w:p w14:paraId="10D93981"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28.2</w:t>
            </w:r>
          </w:p>
        </w:tc>
        <w:tc>
          <w:tcPr>
            <w:tcW w:w="296" w:type="dxa"/>
            <w:tcBorders>
              <w:top w:val="nil"/>
              <w:left w:val="nil"/>
              <w:bottom w:val="nil"/>
              <w:right w:val="nil"/>
            </w:tcBorders>
            <w:shd w:val="clear" w:color="auto" w:fill="auto"/>
            <w:noWrap/>
            <w:vAlign w:val="center"/>
            <w:hideMark/>
          </w:tcPr>
          <w:p w14:paraId="787FCC19"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p>
        </w:tc>
        <w:tc>
          <w:tcPr>
            <w:tcW w:w="882" w:type="dxa"/>
            <w:tcBorders>
              <w:top w:val="single" w:sz="4" w:space="0" w:color="03365F"/>
              <w:left w:val="nil"/>
              <w:bottom w:val="single" w:sz="8" w:space="0" w:color="03365F"/>
              <w:right w:val="nil"/>
            </w:tcBorders>
            <w:shd w:val="clear" w:color="auto" w:fill="auto"/>
            <w:noWrap/>
            <w:vAlign w:val="center"/>
            <w:hideMark/>
          </w:tcPr>
          <w:p w14:paraId="59C5CACD"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(45.7)%</w:t>
            </w:r>
          </w:p>
        </w:tc>
        <w:tc>
          <w:tcPr>
            <w:tcW w:w="796" w:type="dxa"/>
            <w:tcBorders>
              <w:top w:val="single" w:sz="4" w:space="0" w:color="03365F"/>
              <w:left w:val="nil"/>
              <w:bottom w:val="single" w:sz="8" w:space="0" w:color="03365F"/>
              <w:right w:val="nil"/>
            </w:tcBorders>
            <w:shd w:val="clear" w:color="auto" w:fill="auto"/>
            <w:noWrap/>
            <w:vAlign w:val="center"/>
            <w:hideMark/>
          </w:tcPr>
          <w:p w14:paraId="1401EDB9" w14:textId="77777777" w:rsidR="00200B38" w:rsidRPr="00200B38" w:rsidRDefault="00200B38" w:rsidP="00200B38">
            <w:pPr>
              <w:spacing w:after="0" w:line="240" w:lineRule="auto"/>
              <w:jc w:val="right"/>
              <w:rPr>
                <w:rFonts w:ascii="Arial Narrow" w:eastAsia="Times New Roman" w:hAnsi="Arial Narrow" w:cs="Calibri"/>
                <w:b/>
                <w:bCs/>
                <w:color w:val="03365F"/>
                <w:lang w:val="en-GB" w:eastAsia="en-GB"/>
              </w:rPr>
            </w:pPr>
            <w:r w:rsidRPr="00200B38">
              <w:rPr>
                <w:rFonts w:ascii="Arial Narrow" w:eastAsia="Times New Roman" w:hAnsi="Arial Narrow" w:cs="Calibri"/>
                <w:b/>
                <w:bCs/>
                <w:color w:val="03365F"/>
                <w:lang w:val="en-GB" w:eastAsia="en-GB"/>
              </w:rPr>
              <w:t>(41.8)%</w:t>
            </w:r>
          </w:p>
        </w:tc>
      </w:tr>
      <w:tr w:rsidR="00200B38" w:rsidRPr="00200B38" w14:paraId="3D161EFE" w14:textId="77777777" w:rsidTr="00200B38">
        <w:trPr>
          <w:trHeight w:val="300"/>
          <w:jc w:val="center"/>
        </w:trPr>
        <w:tc>
          <w:tcPr>
            <w:tcW w:w="4678" w:type="dxa"/>
            <w:tcBorders>
              <w:top w:val="single" w:sz="4" w:space="0" w:color="BFBFBF"/>
              <w:left w:val="nil"/>
              <w:bottom w:val="nil"/>
              <w:right w:val="nil"/>
            </w:tcBorders>
            <w:shd w:val="clear" w:color="auto" w:fill="auto"/>
            <w:vAlign w:val="bottom"/>
            <w:hideMark/>
          </w:tcPr>
          <w:p w14:paraId="6C38094E" w14:textId="77777777" w:rsidR="00200B38" w:rsidRPr="00200B38" w:rsidRDefault="00200B38" w:rsidP="00200B38">
            <w:pPr>
              <w:spacing w:after="0" w:line="240" w:lineRule="auto"/>
              <w:jc w:val="left"/>
              <w:rPr>
                <w:rFonts w:ascii="Arial Narrow" w:eastAsia="Times New Roman" w:hAnsi="Arial Narrow" w:cs="Calibri"/>
                <w:lang w:val="en-GB" w:eastAsia="en-GB"/>
              </w:rPr>
            </w:pPr>
            <w:r w:rsidRPr="00200B38">
              <w:rPr>
                <w:rFonts w:ascii="Arial Narrow" w:eastAsia="Times New Roman" w:hAnsi="Arial Narrow" w:cs="Calibri"/>
                <w:lang w:val="en-GB" w:eastAsia="en-GB"/>
              </w:rPr>
              <w:t>Investment income, net of management expenses</w:t>
            </w:r>
          </w:p>
        </w:tc>
        <w:tc>
          <w:tcPr>
            <w:tcW w:w="627" w:type="dxa"/>
            <w:tcBorders>
              <w:top w:val="single" w:sz="4" w:space="0" w:color="BFBFBF"/>
              <w:left w:val="nil"/>
              <w:bottom w:val="single" w:sz="4" w:space="0" w:color="BFBFBF"/>
              <w:right w:val="nil"/>
            </w:tcBorders>
            <w:shd w:val="clear" w:color="000000" w:fill="F2F2F2"/>
            <w:noWrap/>
            <w:vAlign w:val="center"/>
            <w:hideMark/>
          </w:tcPr>
          <w:p w14:paraId="3CC9EF52"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5.1</w:t>
            </w:r>
          </w:p>
        </w:tc>
        <w:tc>
          <w:tcPr>
            <w:tcW w:w="716" w:type="dxa"/>
            <w:tcBorders>
              <w:top w:val="single" w:sz="4" w:space="0" w:color="BFBFBF"/>
              <w:left w:val="nil"/>
              <w:bottom w:val="single" w:sz="4" w:space="0" w:color="BFBFBF"/>
              <w:right w:val="nil"/>
            </w:tcBorders>
            <w:shd w:val="clear" w:color="auto" w:fill="auto"/>
            <w:noWrap/>
            <w:vAlign w:val="center"/>
            <w:hideMark/>
          </w:tcPr>
          <w:p w14:paraId="29EEEB8A"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16.6</w:t>
            </w:r>
          </w:p>
        </w:tc>
        <w:tc>
          <w:tcPr>
            <w:tcW w:w="764" w:type="dxa"/>
            <w:tcBorders>
              <w:top w:val="single" w:sz="4" w:space="0" w:color="BFBFBF"/>
              <w:left w:val="nil"/>
              <w:bottom w:val="single" w:sz="4" w:space="0" w:color="BFBFBF"/>
              <w:right w:val="nil"/>
            </w:tcBorders>
            <w:shd w:val="clear" w:color="auto" w:fill="auto"/>
            <w:noWrap/>
            <w:vAlign w:val="center"/>
            <w:hideMark/>
          </w:tcPr>
          <w:p w14:paraId="4DCEE34D"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28.4</w:t>
            </w:r>
          </w:p>
        </w:tc>
        <w:tc>
          <w:tcPr>
            <w:tcW w:w="764" w:type="dxa"/>
            <w:tcBorders>
              <w:top w:val="single" w:sz="4" w:space="0" w:color="BFBFBF"/>
              <w:left w:val="nil"/>
              <w:bottom w:val="single" w:sz="4" w:space="0" w:color="BFBFBF"/>
              <w:right w:val="nil"/>
            </w:tcBorders>
            <w:shd w:val="clear" w:color="auto" w:fill="auto"/>
            <w:noWrap/>
            <w:vAlign w:val="center"/>
            <w:hideMark/>
          </w:tcPr>
          <w:p w14:paraId="14F2D678"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36.6</w:t>
            </w:r>
          </w:p>
        </w:tc>
        <w:tc>
          <w:tcPr>
            <w:tcW w:w="716" w:type="dxa"/>
            <w:tcBorders>
              <w:top w:val="single" w:sz="4" w:space="0" w:color="BFBFBF"/>
              <w:left w:val="nil"/>
              <w:bottom w:val="single" w:sz="4" w:space="0" w:color="BFBFBF"/>
              <w:right w:val="nil"/>
            </w:tcBorders>
            <w:shd w:val="clear" w:color="000000" w:fill="D1F0F1"/>
            <w:noWrap/>
            <w:vAlign w:val="center"/>
            <w:hideMark/>
          </w:tcPr>
          <w:p w14:paraId="431A76BC"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2.7</w:t>
            </w:r>
          </w:p>
        </w:tc>
        <w:tc>
          <w:tcPr>
            <w:tcW w:w="296" w:type="dxa"/>
            <w:tcBorders>
              <w:top w:val="nil"/>
              <w:left w:val="nil"/>
              <w:bottom w:val="nil"/>
              <w:right w:val="nil"/>
            </w:tcBorders>
            <w:shd w:val="clear" w:color="auto" w:fill="auto"/>
            <w:noWrap/>
            <w:vAlign w:val="center"/>
            <w:hideMark/>
          </w:tcPr>
          <w:p w14:paraId="6949EC87" w14:textId="77777777" w:rsidR="00200B38" w:rsidRPr="00200B38" w:rsidRDefault="00200B38" w:rsidP="00200B38">
            <w:pPr>
              <w:spacing w:after="0" w:line="240" w:lineRule="auto"/>
              <w:jc w:val="right"/>
              <w:rPr>
                <w:rFonts w:ascii="Arial Narrow" w:eastAsia="Times New Roman" w:hAnsi="Arial Narrow" w:cs="Calibri"/>
                <w:lang w:val="en-GB" w:eastAsia="en-GB"/>
              </w:rPr>
            </w:pPr>
          </w:p>
        </w:tc>
        <w:tc>
          <w:tcPr>
            <w:tcW w:w="882" w:type="dxa"/>
            <w:tcBorders>
              <w:top w:val="single" w:sz="4" w:space="0" w:color="BFBFBF"/>
              <w:left w:val="nil"/>
              <w:bottom w:val="single" w:sz="4" w:space="0" w:color="BFBFBF"/>
              <w:right w:val="nil"/>
            </w:tcBorders>
            <w:shd w:val="clear" w:color="auto" w:fill="auto"/>
            <w:noWrap/>
            <w:vAlign w:val="center"/>
            <w:hideMark/>
          </w:tcPr>
          <w:p w14:paraId="5403D5E7"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(47.8)%</w:t>
            </w:r>
          </w:p>
        </w:tc>
        <w:tc>
          <w:tcPr>
            <w:tcW w:w="796" w:type="dxa"/>
            <w:tcBorders>
              <w:top w:val="single" w:sz="4" w:space="0" w:color="BFBFBF"/>
              <w:left w:val="nil"/>
              <w:bottom w:val="single" w:sz="4" w:space="0" w:color="BFBFBF"/>
              <w:right w:val="nil"/>
            </w:tcBorders>
            <w:shd w:val="clear" w:color="auto" w:fill="auto"/>
            <w:noWrap/>
            <w:vAlign w:val="center"/>
            <w:hideMark/>
          </w:tcPr>
          <w:p w14:paraId="3231D71C"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(36.7)%</w:t>
            </w:r>
          </w:p>
        </w:tc>
      </w:tr>
      <w:tr w:rsidR="00200B38" w:rsidRPr="00200B38" w14:paraId="5E12F069" w14:textId="77777777" w:rsidTr="00200B38">
        <w:trPr>
          <w:trHeight w:val="300"/>
          <w:jc w:val="center"/>
        </w:trPr>
        <w:tc>
          <w:tcPr>
            <w:tcW w:w="4678" w:type="dxa"/>
            <w:tcBorders>
              <w:top w:val="single" w:sz="4" w:space="0" w:color="18B3B9"/>
              <w:left w:val="nil"/>
              <w:bottom w:val="single" w:sz="8" w:space="0" w:color="18B3B9"/>
              <w:right w:val="nil"/>
            </w:tcBorders>
            <w:shd w:val="clear" w:color="auto" w:fill="auto"/>
            <w:vAlign w:val="center"/>
            <w:hideMark/>
          </w:tcPr>
          <w:p w14:paraId="14AFDD9A" w14:textId="77777777" w:rsidR="00200B38" w:rsidRPr="00200B38" w:rsidRDefault="00200B38" w:rsidP="00200B38">
            <w:pPr>
              <w:spacing w:after="0" w:line="240" w:lineRule="auto"/>
              <w:jc w:val="lef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CURRENT OPERATING INCOME</w:t>
            </w:r>
          </w:p>
        </w:tc>
        <w:tc>
          <w:tcPr>
            <w:tcW w:w="627" w:type="dxa"/>
            <w:tcBorders>
              <w:top w:val="single" w:sz="4" w:space="0" w:color="18B3B9"/>
              <w:left w:val="nil"/>
              <w:bottom w:val="single" w:sz="8" w:space="0" w:color="18B3B9"/>
              <w:right w:val="nil"/>
            </w:tcBorders>
            <w:shd w:val="clear" w:color="000000" w:fill="F2F2F2"/>
            <w:noWrap/>
            <w:vAlign w:val="center"/>
            <w:hideMark/>
          </w:tcPr>
          <w:p w14:paraId="39D522EE"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57.2</w:t>
            </w:r>
          </w:p>
        </w:tc>
        <w:tc>
          <w:tcPr>
            <w:tcW w:w="716" w:type="dxa"/>
            <w:tcBorders>
              <w:top w:val="single" w:sz="4" w:space="0" w:color="18B3B9"/>
              <w:left w:val="nil"/>
              <w:bottom w:val="single" w:sz="8" w:space="0" w:color="18B3B9"/>
              <w:right w:val="nil"/>
            </w:tcBorders>
            <w:shd w:val="clear" w:color="auto" w:fill="auto"/>
            <w:noWrap/>
            <w:vAlign w:val="center"/>
            <w:hideMark/>
          </w:tcPr>
          <w:p w14:paraId="40A9D0F7"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116.1</w:t>
            </w:r>
          </w:p>
        </w:tc>
        <w:tc>
          <w:tcPr>
            <w:tcW w:w="764" w:type="dxa"/>
            <w:tcBorders>
              <w:top w:val="single" w:sz="4" w:space="0" w:color="18B3B9"/>
              <w:left w:val="nil"/>
              <w:bottom w:val="single" w:sz="8" w:space="0" w:color="18B3B9"/>
              <w:right w:val="nil"/>
            </w:tcBorders>
            <w:shd w:val="clear" w:color="auto" w:fill="auto"/>
            <w:noWrap/>
            <w:vAlign w:val="center"/>
            <w:hideMark/>
          </w:tcPr>
          <w:p w14:paraId="4DC258AA"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174.1</w:t>
            </w:r>
          </w:p>
        </w:tc>
        <w:tc>
          <w:tcPr>
            <w:tcW w:w="764" w:type="dxa"/>
            <w:tcBorders>
              <w:top w:val="single" w:sz="4" w:space="0" w:color="18B3B9"/>
              <w:left w:val="nil"/>
              <w:bottom w:val="single" w:sz="8" w:space="0" w:color="18B3B9"/>
              <w:right w:val="nil"/>
            </w:tcBorders>
            <w:shd w:val="clear" w:color="auto" w:fill="auto"/>
            <w:noWrap/>
            <w:vAlign w:val="center"/>
            <w:hideMark/>
          </w:tcPr>
          <w:p w14:paraId="33D04FCB"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224.5</w:t>
            </w:r>
          </w:p>
        </w:tc>
        <w:tc>
          <w:tcPr>
            <w:tcW w:w="716" w:type="dxa"/>
            <w:tcBorders>
              <w:top w:val="single" w:sz="4" w:space="0" w:color="18B3B9"/>
              <w:left w:val="nil"/>
              <w:bottom w:val="single" w:sz="8" w:space="0" w:color="18B3B9"/>
              <w:right w:val="nil"/>
            </w:tcBorders>
            <w:shd w:val="clear" w:color="000000" w:fill="D1F0F1"/>
            <w:noWrap/>
            <w:vAlign w:val="center"/>
            <w:hideMark/>
          </w:tcPr>
          <w:p w14:paraId="5991F703"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30.9</w:t>
            </w:r>
          </w:p>
        </w:tc>
        <w:tc>
          <w:tcPr>
            <w:tcW w:w="296" w:type="dxa"/>
            <w:tcBorders>
              <w:top w:val="nil"/>
              <w:left w:val="nil"/>
              <w:bottom w:val="nil"/>
              <w:right w:val="nil"/>
            </w:tcBorders>
            <w:shd w:val="clear" w:color="auto" w:fill="auto"/>
            <w:noWrap/>
            <w:vAlign w:val="center"/>
            <w:hideMark/>
          </w:tcPr>
          <w:p w14:paraId="4FBE06E1"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p>
        </w:tc>
        <w:tc>
          <w:tcPr>
            <w:tcW w:w="882" w:type="dxa"/>
            <w:tcBorders>
              <w:top w:val="single" w:sz="4" w:space="0" w:color="18B3B9"/>
              <w:left w:val="nil"/>
              <w:bottom w:val="single" w:sz="8" w:space="0" w:color="18B3B9"/>
              <w:right w:val="nil"/>
            </w:tcBorders>
            <w:shd w:val="clear" w:color="auto" w:fill="auto"/>
            <w:noWrap/>
            <w:vAlign w:val="center"/>
            <w:hideMark/>
          </w:tcPr>
          <w:p w14:paraId="481AC8F1"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(45.9)%</w:t>
            </w:r>
          </w:p>
        </w:tc>
        <w:tc>
          <w:tcPr>
            <w:tcW w:w="796" w:type="dxa"/>
            <w:tcBorders>
              <w:top w:val="single" w:sz="4" w:space="0" w:color="18B3B9"/>
              <w:left w:val="nil"/>
              <w:bottom w:val="single" w:sz="8" w:space="0" w:color="18B3B9"/>
              <w:right w:val="nil"/>
            </w:tcBorders>
            <w:shd w:val="clear" w:color="auto" w:fill="auto"/>
            <w:noWrap/>
            <w:vAlign w:val="center"/>
            <w:hideMark/>
          </w:tcPr>
          <w:p w14:paraId="469BB246"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(41.6)%</w:t>
            </w:r>
          </w:p>
        </w:tc>
      </w:tr>
      <w:tr w:rsidR="00200B38" w:rsidRPr="00200B38" w14:paraId="10FE4302" w14:textId="77777777" w:rsidTr="00200B38">
        <w:trPr>
          <w:trHeight w:val="300"/>
          <w:jc w:val="center"/>
        </w:trPr>
        <w:tc>
          <w:tcPr>
            <w:tcW w:w="4678" w:type="dxa"/>
            <w:tcBorders>
              <w:top w:val="nil"/>
              <w:left w:val="nil"/>
              <w:bottom w:val="nil"/>
              <w:right w:val="nil"/>
            </w:tcBorders>
            <w:shd w:val="clear" w:color="auto" w:fill="auto"/>
            <w:noWrap/>
            <w:vAlign w:val="bottom"/>
            <w:hideMark/>
          </w:tcPr>
          <w:p w14:paraId="179DC2D7" w14:textId="77777777" w:rsidR="00200B38" w:rsidRPr="00200B38" w:rsidRDefault="00200B38" w:rsidP="00200B38">
            <w:pPr>
              <w:spacing w:after="0" w:line="240" w:lineRule="auto"/>
              <w:jc w:val="left"/>
              <w:rPr>
                <w:rFonts w:ascii="Arial Narrow" w:eastAsia="Times New Roman" w:hAnsi="Arial Narrow" w:cs="Calibri"/>
                <w:lang w:val="en-GB" w:eastAsia="en-GB"/>
              </w:rPr>
            </w:pPr>
            <w:r w:rsidRPr="00200B38">
              <w:rPr>
                <w:rFonts w:ascii="Arial Narrow" w:eastAsia="Times New Roman" w:hAnsi="Arial Narrow" w:cs="Calibri"/>
                <w:lang w:val="en-GB" w:eastAsia="en-GB"/>
              </w:rPr>
              <w:t>Other operating income / expenses</w:t>
            </w:r>
          </w:p>
        </w:tc>
        <w:tc>
          <w:tcPr>
            <w:tcW w:w="627" w:type="dxa"/>
            <w:tcBorders>
              <w:top w:val="nil"/>
              <w:left w:val="nil"/>
              <w:bottom w:val="nil"/>
              <w:right w:val="nil"/>
            </w:tcBorders>
            <w:shd w:val="clear" w:color="000000" w:fill="F2F2F2"/>
            <w:noWrap/>
            <w:vAlign w:val="center"/>
            <w:hideMark/>
          </w:tcPr>
          <w:p w14:paraId="1A486BA7"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(0.2)</w:t>
            </w:r>
          </w:p>
        </w:tc>
        <w:tc>
          <w:tcPr>
            <w:tcW w:w="716" w:type="dxa"/>
            <w:tcBorders>
              <w:top w:val="nil"/>
              <w:left w:val="nil"/>
              <w:bottom w:val="nil"/>
              <w:right w:val="nil"/>
            </w:tcBorders>
            <w:shd w:val="clear" w:color="auto" w:fill="auto"/>
            <w:noWrap/>
            <w:vAlign w:val="center"/>
            <w:hideMark/>
          </w:tcPr>
          <w:p w14:paraId="6756AC53"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1.1</w:t>
            </w:r>
          </w:p>
        </w:tc>
        <w:tc>
          <w:tcPr>
            <w:tcW w:w="764" w:type="dxa"/>
            <w:tcBorders>
              <w:top w:val="nil"/>
              <w:left w:val="nil"/>
              <w:bottom w:val="nil"/>
              <w:right w:val="nil"/>
            </w:tcBorders>
            <w:shd w:val="clear" w:color="auto" w:fill="auto"/>
            <w:noWrap/>
            <w:vAlign w:val="center"/>
            <w:hideMark/>
          </w:tcPr>
          <w:p w14:paraId="031DD103"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0.1</w:t>
            </w:r>
          </w:p>
        </w:tc>
        <w:tc>
          <w:tcPr>
            <w:tcW w:w="764" w:type="dxa"/>
            <w:tcBorders>
              <w:top w:val="nil"/>
              <w:left w:val="nil"/>
              <w:bottom w:val="nil"/>
              <w:right w:val="nil"/>
            </w:tcBorders>
            <w:shd w:val="clear" w:color="auto" w:fill="auto"/>
            <w:noWrap/>
            <w:vAlign w:val="center"/>
            <w:hideMark/>
          </w:tcPr>
          <w:p w14:paraId="29E7FFF0"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(6.0)</w:t>
            </w:r>
          </w:p>
        </w:tc>
        <w:tc>
          <w:tcPr>
            <w:tcW w:w="716" w:type="dxa"/>
            <w:tcBorders>
              <w:top w:val="nil"/>
              <w:left w:val="nil"/>
              <w:bottom w:val="nil"/>
              <w:right w:val="nil"/>
            </w:tcBorders>
            <w:shd w:val="clear" w:color="000000" w:fill="D1F0F1"/>
            <w:noWrap/>
            <w:vAlign w:val="center"/>
            <w:hideMark/>
          </w:tcPr>
          <w:p w14:paraId="4452553C"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(0.2)</w:t>
            </w:r>
          </w:p>
        </w:tc>
        <w:tc>
          <w:tcPr>
            <w:tcW w:w="296" w:type="dxa"/>
            <w:tcBorders>
              <w:top w:val="nil"/>
              <w:left w:val="nil"/>
              <w:bottom w:val="nil"/>
              <w:right w:val="nil"/>
            </w:tcBorders>
            <w:shd w:val="clear" w:color="auto" w:fill="auto"/>
            <w:noWrap/>
            <w:vAlign w:val="center"/>
            <w:hideMark/>
          </w:tcPr>
          <w:p w14:paraId="259CAE5F" w14:textId="77777777" w:rsidR="00200B38" w:rsidRPr="00200B38" w:rsidRDefault="00200B38" w:rsidP="00200B38">
            <w:pPr>
              <w:spacing w:after="0" w:line="240" w:lineRule="auto"/>
              <w:jc w:val="right"/>
              <w:rPr>
                <w:rFonts w:ascii="Arial Narrow" w:eastAsia="Times New Roman" w:hAnsi="Arial Narrow" w:cs="Calibri"/>
                <w:lang w:val="en-GB" w:eastAsia="en-GB"/>
              </w:rPr>
            </w:pPr>
          </w:p>
        </w:tc>
        <w:tc>
          <w:tcPr>
            <w:tcW w:w="882" w:type="dxa"/>
            <w:tcBorders>
              <w:top w:val="nil"/>
              <w:left w:val="nil"/>
              <w:bottom w:val="nil"/>
              <w:right w:val="nil"/>
            </w:tcBorders>
            <w:shd w:val="clear" w:color="auto" w:fill="auto"/>
            <w:noWrap/>
            <w:vAlign w:val="center"/>
            <w:hideMark/>
          </w:tcPr>
          <w:p w14:paraId="06DA489C"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(20.5)%</w:t>
            </w:r>
          </w:p>
        </w:tc>
        <w:tc>
          <w:tcPr>
            <w:tcW w:w="796" w:type="dxa"/>
            <w:tcBorders>
              <w:top w:val="nil"/>
              <w:left w:val="nil"/>
              <w:bottom w:val="nil"/>
              <w:right w:val="nil"/>
            </w:tcBorders>
            <w:shd w:val="clear" w:color="auto" w:fill="auto"/>
            <w:noWrap/>
            <w:vAlign w:val="center"/>
            <w:hideMark/>
          </w:tcPr>
          <w:p w14:paraId="7F2030D4" w14:textId="77777777" w:rsidR="00200B38" w:rsidRPr="00200B38" w:rsidRDefault="00200B38" w:rsidP="00200B38">
            <w:pPr>
              <w:spacing w:after="0" w:line="240" w:lineRule="auto"/>
              <w:jc w:val="right"/>
              <w:rPr>
                <w:rFonts w:ascii="Arial Narrow" w:eastAsia="Times New Roman" w:hAnsi="Arial Narrow" w:cs="Calibri"/>
                <w:lang w:val="en-GB" w:eastAsia="en-GB"/>
              </w:rPr>
            </w:pPr>
            <w:r w:rsidRPr="00200B38">
              <w:rPr>
                <w:rFonts w:ascii="Arial Narrow" w:eastAsia="Times New Roman" w:hAnsi="Arial Narrow" w:cs="Calibri"/>
                <w:lang w:val="en-GB" w:eastAsia="en-GB"/>
              </w:rPr>
              <w:t>(13.0)%</w:t>
            </w:r>
          </w:p>
        </w:tc>
      </w:tr>
      <w:tr w:rsidR="00200B38" w:rsidRPr="00200B38" w14:paraId="136F0C6A" w14:textId="77777777" w:rsidTr="00200B38">
        <w:trPr>
          <w:trHeight w:val="300"/>
          <w:jc w:val="center"/>
        </w:trPr>
        <w:tc>
          <w:tcPr>
            <w:tcW w:w="4678" w:type="dxa"/>
            <w:tcBorders>
              <w:top w:val="single" w:sz="4" w:space="0" w:color="18B3B9"/>
              <w:left w:val="nil"/>
              <w:bottom w:val="single" w:sz="8" w:space="0" w:color="18B3B9"/>
              <w:right w:val="nil"/>
            </w:tcBorders>
            <w:shd w:val="clear" w:color="auto" w:fill="auto"/>
            <w:vAlign w:val="center"/>
            <w:hideMark/>
          </w:tcPr>
          <w:p w14:paraId="055D5F4C" w14:textId="77777777" w:rsidR="00200B38" w:rsidRPr="00200B38" w:rsidRDefault="00200B38" w:rsidP="00200B38">
            <w:pPr>
              <w:spacing w:after="0" w:line="240" w:lineRule="auto"/>
              <w:jc w:val="lef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OPERATING INCOME</w:t>
            </w:r>
          </w:p>
        </w:tc>
        <w:tc>
          <w:tcPr>
            <w:tcW w:w="627" w:type="dxa"/>
            <w:tcBorders>
              <w:top w:val="single" w:sz="4" w:space="0" w:color="18B3B9"/>
              <w:left w:val="nil"/>
              <w:bottom w:val="single" w:sz="8" w:space="0" w:color="18B3B9"/>
              <w:right w:val="nil"/>
            </w:tcBorders>
            <w:shd w:val="clear" w:color="000000" w:fill="F2F2F2"/>
            <w:noWrap/>
            <w:vAlign w:val="center"/>
            <w:hideMark/>
          </w:tcPr>
          <w:p w14:paraId="6A1DA998"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56.9</w:t>
            </w:r>
          </w:p>
        </w:tc>
        <w:tc>
          <w:tcPr>
            <w:tcW w:w="716" w:type="dxa"/>
            <w:tcBorders>
              <w:top w:val="single" w:sz="4" w:space="0" w:color="18B3B9"/>
              <w:left w:val="nil"/>
              <w:bottom w:val="single" w:sz="8" w:space="0" w:color="18B3B9"/>
              <w:right w:val="nil"/>
            </w:tcBorders>
            <w:shd w:val="clear" w:color="auto" w:fill="auto"/>
            <w:noWrap/>
            <w:vAlign w:val="center"/>
            <w:hideMark/>
          </w:tcPr>
          <w:p w14:paraId="0F0014E6"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117.2</w:t>
            </w:r>
          </w:p>
        </w:tc>
        <w:tc>
          <w:tcPr>
            <w:tcW w:w="764" w:type="dxa"/>
            <w:tcBorders>
              <w:top w:val="single" w:sz="4" w:space="0" w:color="18B3B9"/>
              <w:left w:val="nil"/>
              <w:bottom w:val="single" w:sz="8" w:space="0" w:color="18B3B9"/>
              <w:right w:val="nil"/>
            </w:tcBorders>
            <w:shd w:val="clear" w:color="auto" w:fill="auto"/>
            <w:noWrap/>
            <w:vAlign w:val="center"/>
            <w:hideMark/>
          </w:tcPr>
          <w:p w14:paraId="112E6585"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174.2</w:t>
            </w:r>
          </w:p>
        </w:tc>
        <w:tc>
          <w:tcPr>
            <w:tcW w:w="764" w:type="dxa"/>
            <w:tcBorders>
              <w:top w:val="single" w:sz="4" w:space="0" w:color="18B3B9"/>
              <w:left w:val="nil"/>
              <w:bottom w:val="single" w:sz="8" w:space="0" w:color="18B3B9"/>
              <w:right w:val="nil"/>
            </w:tcBorders>
            <w:shd w:val="clear" w:color="auto" w:fill="auto"/>
            <w:noWrap/>
            <w:vAlign w:val="center"/>
            <w:hideMark/>
          </w:tcPr>
          <w:p w14:paraId="3BF94801"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218.5</w:t>
            </w:r>
          </w:p>
        </w:tc>
        <w:tc>
          <w:tcPr>
            <w:tcW w:w="716" w:type="dxa"/>
            <w:tcBorders>
              <w:top w:val="single" w:sz="4" w:space="0" w:color="18B3B9"/>
              <w:left w:val="nil"/>
              <w:bottom w:val="single" w:sz="8" w:space="0" w:color="18B3B9"/>
              <w:right w:val="nil"/>
            </w:tcBorders>
            <w:shd w:val="clear" w:color="000000" w:fill="D1F0F1"/>
            <w:noWrap/>
            <w:vAlign w:val="center"/>
            <w:hideMark/>
          </w:tcPr>
          <w:p w14:paraId="654C1A0A"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30.7</w:t>
            </w:r>
          </w:p>
        </w:tc>
        <w:tc>
          <w:tcPr>
            <w:tcW w:w="296" w:type="dxa"/>
            <w:tcBorders>
              <w:top w:val="nil"/>
              <w:left w:val="nil"/>
              <w:bottom w:val="nil"/>
              <w:right w:val="nil"/>
            </w:tcBorders>
            <w:shd w:val="clear" w:color="auto" w:fill="auto"/>
            <w:noWrap/>
            <w:vAlign w:val="center"/>
            <w:hideMark/>
          </w:tcPr>
          <w:p w14:paraId="338FDD02"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p>
        </w:tc>
        <w:tc>
          <w:tcPr>
            <w:tcW w:w="882" w:type="dxa"/>
            <w:tcBorders>
              <w:top w:val="single" w:sz="4" w:space="0" w:color="18B3B9"/>
              <w:left w:val="nil"/>
              <w:bottom w:val="single" w:sz="8" w:space="0" w:color="18B3B9"/>
              <w:right w:val="nil"/>
            </w:tcBorders>
            <w:shd w:val="clear" w:color="auto" w:fill="auto"/>
            <w:noWrap/>
            <w:vAlign w:val="center"/>
            <w:hideMark/>
          </w:tcPr>
          <w:p w14:paraId="311E545E"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(46.0)%</w:t>
            </w:r>
          </w:p>
        </w:tc>
        <w:tc>
          <w:tcPr>
            <w:tcW w:w="796" w:type="dxa"/>
            <w:tcBorders>
              <w:top w:val="single" w:sz="4" w:space="0" w:color="18B3B9"/>
              <w:left w:val="nil"/>
              <w:bottom w:val="single" w:sz="8" w:space="0" w:color="18B3B9"/>
              <w:right w:val="nil"/>
            </w:tcBorders>
            <w:shd w:val="clear" w:color="auto" w:fill="auto"/>
            <w:noWrap/>
            <w:vAlign w:val="center"/>
            <w:hideMark/>
          </w:tcPr>
          <w:p w14:paraId="73976E4A"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(41.8)%</w:t>
            </w:r>
          </w:p>
        </w:tc>
      </w:tr>
      <w:tr w:rsidR="00200B38" w:rsidRPr="00200B38" w14:paraId="249502C2" w14:textId="77777777" w:rsidTr="00200B38">
        <w:trPr>
          <w:trHeight w:val="300"/>
          <w:jc w:val="center"/>
        </w:trPr>
        <w:tc>
          <w:tcPr>
            <w:tcW w:w="4678" w:type="dxa"/>
            <w:tcBorders>
              <w:top w:val="single" w:sz="4" w:space="0" w:color="18B3B9"/>
              <w:left w:val="nil"/>
              <w:bottom w:val="single" w:sz="8" w:space="0" w:color="18B3B9"/>
              <w:right w:val="nil"/>
            </w:tcBorders>
            <w:shd w:val="clear" w:color="auto" w:fill="auto"/>
            <w:vAlign w:val="center"/>
            <w:hideMark/>
          </w:tcPr>
          <w:p w14:paraId="263BF7FB" w14:textId="77777777" w:rsidR="00200B38" w:rsidRPr="00200B38" w:rsidRDefault="00200B38" w:rsidP="00200B38">
            <w:pPr>
              <w:spacing w:after="0" w:line="240" w:lineRule="auto"/>
              <w:jc w:val="lef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NET INCOME</w:t>
            </w:r>
          </w:p>
        </w:tc>
        <w:tc>
          <w:tcPr>
            <w:tcW w:w="627" w:type="dxa"/>
            <w:tcBorders>
              <w:top w:val="single" w:sz="4" w:space="0" w:color="18B3B9"/>
              <w:left w:val="nil"/>
              <w:bottom w:val="single" w:sz="8" w:space="0" w:color="18B3B9"/>
              <w:right w:val="nil"/>
            </w:tcBorders>
            <w:shd w:val="clear" w:color="000000" w:fill="F2F2F2"/>
            <w:noWrap/>
            <w:vAlign w:val="center"/>
            <w:hideMark/>
          </w:tcPr>
          <w:p w14:paraId="65A517DF"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36.4</w:t>
            </w:r>
          </w:p>
        </w:tc>
        <w:tc>
          <w:tcPr>
            <w:tcW w:w="716" w:type="dxa"/>
            <w:tcBorders>
              <w:top w:val="single" w:sz="4" w:space="0" w:color="18B3B9"/>
              <w:left w:val="nil"/>
              <w:bottom w:val="single" w:sz="8" w:space="0" w:color="18B3B9"/>
              <w:right w:val="nil"/>
            </w:tcBorders>
            <w:shd w:val="clear" w:color="auto" w:fill="auto"/>
            <w:noWrap/>
            <w:vAlign w:val="center"/>
            <w:hideMark/>
          </w:tcPr>
          <w:p w14:paraId="0991AEFD"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78.5</w:t>
            </w:r>
          </w:p>
        </w:tc>
        <w:tc>
          <w:tcPr>
            <w:tcW w:w="764" w:type="dxa"/>
            <w:tcBorders>
              <w:top w:val="single" w:sz="4" w:space="0" w:color="18B3B9"/>
              <w:left w:val="nil"/>
              <w:bottom w:val="single" w:sz="8" w:space="0" w:color="18B3B9"/>
              <w:right w:val="nil"/>
            </w:tcBorders>
            <w:shd w:val="clear" w:color="auto" w:fill="auto"/>
            <w:noWrap/>
            <w:vAlign w:val="center"/>
            <w:hideMark/>
          </w:tcPr>
          <w:p w14:paraId="34F2E5BF"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117.3</w:t>
            </w:r>
          </w:p>
        </w:tc>
        <w:tc>
          <w:tcPr>
            <w:tcW w:w="764" w:type="dxa"/>
            <w:tcBorders>
              <w:top w:val="single" w:sz="4" w:space="0" w:color="18B3B9"/>
              <w:left w:val="nil"/>
              <w:bottom w:val="single" w:sz="8" w:space="0" w:color="18B3B9"/>
              <w:right w:val="nil"/>
            </w:tcBorders>
            <w:shd w:val="clear" w:color="auto" w:fill="auto"/>
            <w:noWrap/>
            <w:vAlign w:val="center"/>
            <w:hideMark/>
          </w:tcPr>
          <w:p w14:paraId="65648EF3"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146.7</w:t>
            </w:r>
          </w:p>
        </w:tc>
        <w:tc>
          <w:tcPr>
            <w:tcW w:w="716" w:type="dxa"/>
            <w:tcBorders>
              <w:top w:val="single" w:sz="4" w:space="0" w:color="18B3B9"/>
              <w:left w:val="nil"/>
              <w:bottom w:val="single" w:sz="8" w:space="0" w:color="18B3B9"/>
              <w:right w:val="nil"/>
            </w:tcBorders>
            <w:shd w:val="clear" w:color="000000" w:fill="D1F0F1"/>
            <w:noWrap/>
            <w:vAlign w:val="center"/>
            <w:hideMark/>
          </w:tcPr>
          <w:p w14:paraId="5DCCF3D1"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12.7</w:t>
            </w:r>
          </w:p>
        </w:tc>
        <w:tc>
          <w:tcPr>
            <w:tcW w:w="296" w:type="dxa"/>
            <w:tcBorders>
              <w:top w:val="nil"/>
              <w:left w:val="nil"/>
              <w:bottom w:val="nil"/>
              <w:right w:val="nil"/>
            </w:tcBorders>
            <w:shd w:val="clear" w:color="auto" w:fill="auto"/>
            <w:noWrap/>
            <w:vAlign w:val="center"/>
            <w:hideMark/>
          </w:tcPr>
          <w:p w14:paraId="1AB27637"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p>
        </w:tc>
        <w:tc>
          <w:tcPr>
            <w:tcW w:w="882" w:type="dxa"/>
            <w:tcBorders>
              <w:top w:val="single" w:sz="4" w:space="0" w:color="18B3B9"/>
              <w:left w:val="nil"/>
              <w:bottom w:val="single" w:sz="8" w:space="0" w:color="18B3B9"/>
              <w:right w:val="nil"/>
            </w:tcBorders>
            <w:shd w:val="clear" w:color="auto" w:fill="auto"/>
            <w:noWrap/>
            <w:vAlign w:val="center"/>
            <w:hideMark/>
          </w:tcPr>
          <w:p w14:paraId="4B6DD4ED"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(65.2)%</w:t>
            </w:r>
          </w:p>
        </w:tc>
        <w:tc>
          <w:tcPr>
            <w:tcW w:w="796" w:type="dxa"/>
            <w:tcBorders>
              <w:top w:val="single" w:sz="4" w:space="0" w:color="18B3B9"/>
              <w:left w:val="nil"/>
              <w:bottom w:val="single" w:sz="8" w:space="0" w:color="18B3B9"/>
              <w:right w:val="nil"/>
            </w:tcBorders>
            <w:shd w:val="clear" w:color="auto" w:fill="auto"/>
            <w:noWrap/>
            <w:vAlign w:val="center"/>
            <w:hideMark/>
          </w:tcPr>
          <w:p w14:paraId="4F8E63BC" w14:textId="77777777" w:rsidR="00200B38" w:rsidRPr="00200B38" w:rsidRDefault="00200B38" w:rsidP="00200B38">
            <w:pPr>
              <w:spacing w:after="0" w:line="240" w:lineRule="auto"/>
              <w:jc w:val="right"/>
              <w:rPr>
                <w:rFonts w:ascii="Arial Narrow" w:eastAsia="Times New Roman" w:hAnsi="Arial Narrow" w:cs="Calibri"/>
                <w:b/>
                <w:bCs/>
                <w:color w:val="18B3B9"/>
                <w:lang w:val="en-GB" w:eastAsia="en-GB"/>
              </w:rPr>
            </w:pPr>
            <w:r w:rsidRPr="00200B38">
              <w:rPr>
                <w:rFonts w:ascii="Arial Narrow" w:eastAsia="Times New Roman" w:hAnsi="Arial Narrow" w:cs="Calibri"/>
                <w:b/>
                <w:bCs/>
                <w:color w:val="18B3B9"/>
                <w:lang w:val="en-GB" w:eastAsia="en-GB"/>
              </w:rPr>
              <w:t>(60.9)%</w:t>
            </w:r>
          </w:p>
        </w:tc>
      </w:tr>
      <w:tr w:rsidR="00200B38" w:rsidRPr="00200B38" w14:paraId="17E02A66" w14:textId="77777777" w:rsidTr="00200B38">
        <w:trPr>
          <w:trHeight w:val="300"/>
          <w:jc w:val="center"/>
        </w:trPr>
        <w:tc>
          <w:tcPr>
            <w:tcW w:w="4678" w:type="dxa"/>
            <w:tcBorders>
              <w:top w:val="nil"/>
              <w:left w:val="nil"/>
              <w:bottom w:val="nil"/>
              <w:right w:val="nil"/>
            </w:tcBorders>
            <w:shd w:val="clear" w:color="auto" w:fill="auto"/>
            <w:noWrap/>
            <w:vAlign w:val="center"/>
            <w:hideMark/>
          </w:tcPr>
          <w:p w14:paraId="03978FB1" w14:textId="77777777" w:rsidR="00200B38" w:rsidRPr="00200B38" w:rsidRDefault="00200B38" w:rsidP="00200B38">
            <w:pPr>
              <w:spacing w:after="0" w:line="240" w:lineRule="auto"/>
              <w:jc w:val="lef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Income tax rate</w:t>
            </w:r>
          </w:p>
        </w:tc>
        <w:tc>
          <w:tcPr>
            <w:tcW w:w="627" w:type="dxa"/>
            <w:tcBorders>
              <w:top w:val="nil"/>
              <w:left w:val="nil"/>
              <w:bottom w:val="nil"/>
              <w:right w:val="nil"/>
            </w:tcBorders>
            <w:shd w:val="clear" w:color="auto" w:fill="auto"/>
            <w:noWrap/>
            <w:vAlign w:val="center"/>
            <w:hideMark/>
          </w:tcPr>
          <w:p w14:paraId="68702A27"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29.4%</w:t>
            </w:r>
          </w:p>
        </w:tc>
        <w:tc>
          <w:tcPr>
            <w:tcW w:w="716" w:type="dxa"/>
            <w:tcBorders>
              <w:top w:val="nil"/>
              <w:left w:val="nil"/>
              <w:bottom w:val="nil"/>
              <w:right w:val="nil"/>
            </w:tcBorders>
            <w:shd w:val="clear" w:color="auto" w:fill="auto"/>
            <w:noWrap/>
            <w:vAlign w:val="center"/>
            <w:hideMark/>
          </w:tcPr>
          <w:p w14:paraId="320E047E"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29.2%</w:t>
            </w:r>
          </w:p>
        </w:tc>
        <w:tc>
          <w:tcPr>
            <w:tcW w:w="764" w:type="dxa"/>
            <w:tcBorders>
              <w:top w:val="nil"/>
              <w:left w:val="nil"/>
              <w:bottom w:val="nil"/>
              <w:right w:val="nil"/>
            </w:tcBorders>
            <w:shd w:val="clear" w:color="auto" w:fill="auto"/>
            <w:noWrap/>
            <w:vAlign w:val="center"/>
            <w:hideMark/>
          </w:tcPr>
          <w:p w14:paraId="5ECF25F2"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27.8%</w:t>
            </w:r>
          </w:p>
        </w:tc>
        <w:tc>
          <w:tcPr>
            <w:tcW w:w="764" w:type="dxa"/>
            <w:tcBorders>
              <w:top w:val="nil"/>
              <w:left w:val="nil"/>
              <w:bottom w:val="nil"/>
              <w:right w:val="nil"/>
            </w:tcBorders>
            <w:shd w:val="clear" w:color="auto" w:fill="auto"/>
            <w:noWrap/>
            <w:vAlign w:val="center"/>
            <w:hideMark/>
          </w:tcPr>
          <w:p w14:paraId="4BEF9C64"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28.0%</w:t>
            </w:r>
          </w:p>
        </w:tc>
        <w:tc>
          <w:tcPr>
            <w:tcW w:w="716" w:type="dxa"/>
            <w:tcBorders>
              <w:top w:val="nil"/>
              <w:left w:val="nil"/>
              <w:bottom w:val="nil"/>
              <w:right w:val="nil"/>
            </w:tcBorders>
            <w:shd w:val="clear" w:color="auto" w:fill="auto"/>
            <w:noWrap/>
            <w:vAlign w:val="center"/>
            <w:hideMark/>
          </w:tcPr>
          <w:p w14:paraId="424F7C3F"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r w:rsidRPr="00200B38">
              <w:rPr>
                <w:rFonts w:ascii="Arial Narrow" w:eastAsia="Times New Roman" w:hAnsi="Arial Narrow" w:cs="Calibri"/>
                <w:i/>
                <w:iCs/>
                <w:color w:val="808080"/>
                <w:sz w:val="16"/>
                <w:szCs w:val="16"/>
                <w:lang w:val="en-GB" w:eastAsia="en-GB"/>
              </w:rPr>
              <w:t>50.5%</w:t>
            </w:r>
          </w:p>
        </w:tc>
        <w:tc>
          <w:tcPr>
            <w:tcW w:w="296" w:type="dxa"/>
            <w:tcBorders>
              <w:top w:val="nil"/>
              <w:left w:val="nil"/>
              <w:bottom w:val="nil"/>
              <w:right w:val="nil"/>
            </w:tcBorders>
            <w:shd w:val="clear" w:color="auto" w:fill="auto"/>
            <w:noWrap/>
            <w:vAlign w:val="center"/>
            <w:hideMark/>
          </w:tcPr>
          <w:p w14:paraId="7E5E6782" w14:textId="77777777" w:rsidR="00200B38" w:rsidRPr="00200B38" w:rsidRDefault="00200B38" w:rsidP="00200B38">
            <w:pPr>
              <w:spacing w:after="0" w:line="240" w:lineRule="auto"/>
              <w:jc w:val="right"/>
              <w:rPr>
                <w:rFonts w:ascii="Arial Narrow" w:eastAsia="Times New Roman" w:hAnsi="Arial Narrow" w:cs="Calibri"/>
                <w:i/>
                <w:iCs/>
                <w:color w:val="808080"/>
                <w:sz w:val="16"/>
                <w:szCs w:val="16"/>
                <w:lang w:val="en-GB" w:eastAsia="en-GB"/>
              </w:rPr>
            </w:pPr>
          </w:p>
        </w:tc>
        <w:tc>
          <w:tcPr>
            <w:tcW w:w="882" w:type="dxa"/>
            <w:tcBorders>
              <w:top w:val="nil"/>
              <w:left w:val="nil"/>
              <w:bottom w:val="nil"/>
              <w:right w:val="nil"/>
            </w:tcBorders>
            <w:shd w:val="clear" w:color="auto" w:fill="auto"/>
            <w:noWrap/>
            <w:vAlign w:val="center"/>
            <w:hideMark/>
          </w:tcPr>
          <w:p w14:paraId="06B5D247" w14:textId="77777777" w:rsidR="00200B38" w:rsidRPr="00200B38" w:rsidRDefault="00200B38" w:rsidP="00200B38">
            <w:pPr>
              <w:spacing w:after="0" w:line="240" w:lineRule="auto"/>
              <w:jc w:val="left"/>
              <w:rPr>
                <w:rFonts w:ascii="Times New Roman" w:eastAsia="Times New Roman" w:hAnsi="Times New Roman" w:cs="Times New Roman"/>
                <w:lang w:val="en-GB" w:eastAsia="en-GB"/>
              </w:rPr>
            </w:pPr>
          </w:p>
        </w:tc>
        <w:tc>
          <w:tcPr>
            <w:tcW w:w="796" w:type="dxa"/>
            <w:tcBorders>
              <w:top w:val="nil"/>
              <w:left w:val="nil"/>
              <w:bottom w:val="nil"/>
              <w:right w:val="nil"/>
            </w:tcBorders>
            <w:shd w:val="clear" w:color="auto" w:fill="auto"/>
            <w:noWrap/>
            <w:vAlign w:val="center"/>
            <w:hideMark/>
          </w:tcPr>
          <w:p w14:paraId="08509E93" w14:textId="77777777" w:rsidR="00200B38" w:rsidRPr="00200B38" w:rsidRDefault="00200B38" w:rsidP="00200B38">
            <w:pPr>
              <w:spacing w:after="0" w:line="240" w:lineRule="auto"/>
              <w:jc w:val="right"/>
              <w:rPr>
                <w:rFonts w:ascii="Times New Roman" w:eastAsia="Times New Roman" w:hAnsi="Times New Roman" w:cs="Times New Roman"/>
                <w:lang w:val="en-GB" w:eastAsia="en-GB"/>
              </w:rPr>
            </w:pPr>
          </w:p>
        </w:tc>
      </w:tr>
    </w:tbl>
    <w:p w14:paraId="5DA970E2" w14:textId="77777777" w:rsidR="004C382C" w:rsidRPr="00B30555" w:rsidRDefault="004C382C" w:rsidP="00BD4D1B">
      <w:pPr>
        <w:spacing w:after="0" w:line="240" w:lineRule="auto"/>
        <w:rPr>
          <w:rFonts w:ascii="Arial Narrow" w:hAnsi="Arial Narrow" w:cs="Arial"/>
          <w:bCs/>
          <w:u w:val="single"/>
          <w:lang w:val="en-GB"/>
        </w:rPr>
      </w:pPr>
    </w:p>
    <w:p w14:paraId="485C6684" w14:textId="77777777" w:rsidR="00BD4D1B" w:rsidRPr="00B30555" w:rsidRDefault="00BD4D1B" w:rsidP="00BD4D1B">
      <w:pPr>
        <w:spacing w:after="0" w:line="240" w:lineRule="auto"/>
        <w:rPr>
          <w:rFonts w:ascii="Arial Narrow" w:hAnsi="Arial Narrow" w:cs="Arial"/>
          <w:bCs/>
          <w:u w:val="single"/>
          <w:lang w:val="en-GB"/>
        </w:rPr>
      </w:pPr>
    </w:p>
    <w:p w14:paraId="1BD5BCAF" w14:textId="77777777" w:rsidR="00BD4D1B" w:rsidRPr="00B30555" w:rsidRDefault="00BD4D1B" w:rsidP="00BD4D1B">
      <w:pPr>
        <w:spacing w:after="0" w:line="240" w:lineRule="auto"/>
        <w:rPr>
          <w:rFonts w:ascii="Arial Narrow" w:hAnsi="Arial Narrow" w:cs="Arial"/>
          <w:bCs/>
          <w:sz w:val="16"/>
          <w:lang w:val="en-GB"/>
        </w:rPr>
      </w:pPr>
      <w:r w:rsidRPr="00B30555">
        <w:rPr>
          <w:rFonts w:ascii="Arial Narrow" w:hAnsi="Arial Narrow" w:cs="Arial"/>
          <w:bCs/>
          <w:sz w:val="16"/>
          <w:lang w:val="en-GB"/>
        </w:rPr>
        <w:t>* Also excludes scope impact</w:t>
      </w:r>
    </w:p>
    <w:p w14:paraId="71B43A2C" w14:textId="77777777" w:rsidR="009113BD" w:rsidRPr="00B30555" w:rsidRDefault="00BD4D1B">
      <w:pPr>
        <w:rPr>
          <w:rFonts w:ascii="Arial Narrow" w:hAnsi="Arial Narrow" w:cs="Arial"/>
          <w:b/>
          <w:bCs/>
          <w:lang w:val="en-GB" w:eastAsia="ar-SA"/>
        </w:rPr>
      </w:pPr>
      <w:r w:rsidRPr="00B30555">
        <w:rPr>
          <w:rFonts w:ascii="Arial Narrow" w:hAnsi="Arial Narrow" w:cs="Arial"/>
          <w:b/>
          <w:bCs/>
          <w:lang w:val="en-GB" w:eastAsia="ar-SA"/>
        </w:rPr>
        <w:br w:type="page"/>
      </w:r>
    </w:p>
    <w:tbl>
      <w:tblPr>
        <w:tblW w:w="8789" w:type="dxa"/>
        <w:tblInd w:w="-34" w:type="dxa"/>
        <w:tblLook w:val="04A0" w:firstRow="1" w:lastRow="0" w:firstColumn="1" w:lastColumn="0" w:noHBand="0" w:noVBand="1"/>
      </w:tblPr>
      <w:tblGrid>
        <w:gridCol w:w="4253"/>
        <w:gridCol w:w="4536"/>
      </w:tblGrid>
      <w:tr w:rsidR="009113BD" w:rsidRPr="009113BD" w14:paraId="72472583" w14:textId="77777777" w:rsidTr="00E83EC2">
        <w:tc>
          <w:tcPr>
            <w:tcW w:w="8789" w:type="dxa"/>
            <w:gridSpan w:val="2"/>
            <w:vAlign w:val="center"/>
          </w:tcPr>
          <w:p w14:paraId="2A289775"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b/>
                <w:sz w:val="18"/>
                <w:szCs w:val="18"/>
                <w:lang w:val="fr-FR" w:eastAsia="ar-SA"/>
              </w:rPr>
            </w:pPr>
            <w:r w:rsidRPr="009113BD">
              <w:rPr>
                <w:rFonts w:ascii="Arial Narrow" w:eastAsia="MS Mincho" w:hAnsi="Arial Narrow" w:cs="Arial"/>
                <w:b/>
                <w:sz w:val="18"/>
                <w:szCs w:val="18"/>
                <w:lang w:val="fr-FR" w:eastAsia="ar-SA"/>
              </w:rPr>
              <w:lastRenderedPageBreak/>
              <w:t>CONTACTS</w:t>
            </w:r>
          </w:p>
        </w:tc>
      </w:tr>
      <w:tr w:rsidR="009113BD" w:rsidRPr="009113BD" w14:paraId="293E25BD" w14:textId="77777777" w:rsidTr="00E83EC2">
        <w:tc>
          <w:tcPr>
            <w:tcW w:w="8789" w:type="dxa"/>
            <w:gridSpan w:val="2"/>
            <w:vAlign w:val="center"/>
          </w:tcPr>
          <w:p w14:paraId="2E7713C5"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b/>
                <w:sz w:val="18"/>
                <w:szCs w:val="18"/>
                <w:lang w:val="fr-FR" w:eastAsia="ar-SA"/>
              </w:rPr>
            </w:pPr>
          </w:p>
        </w:tc>
      </w:tr>
      <w:tr w:rsidR="009113BD" w:rsidRPr="009113BD" w14:paraId="513A5053" w14:textId="77777777" w:rsidTr="00E83EC2">
        <w:tc>
          <w:tcPr>
            <w:tcW w:w="4253" w:type="dxa"/>
          </w:tcPr>
          <w:p w14:paraId="503A8DD7"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sz w:val="18"/>
                <w:szCs w:val="18"/>
                <w:lang w:val="fr-FR" w:eastAsia="ar-SA"/>
              </w:rPr>
            </w:pPr>
            <w:r w:rsidRPr="009113BD">
              <w:rPr>
                <w:rFonts w:ascii="Arial Narrow" w:eastAsia="MS Mincho" w:hAnsi="Arial Narrow" w:cs="Arial"/>
                <w:b/>
                <w:sz w:val="18"/>
                <w:szCs w:val="18"/>
                <w:lang w:val="fr-FR" w:eastAsia="ar-SA"/>
              </w:rPr>
              <w:t>MEDIA RELATIONS</w:t>
            </w:r>
          </w:p>
          <w:p w14:paraId="71604433" w14:textId="77777777" w:rsidR="009113BD" w:rsidRPr="009113BD" w:rsidRDefault="009113BD" w:rsidP="009113BD">
            <w:pPr>
              <w:widowControl w:val="0"/>
              <w:tabs>
                <w:tab w:val="left" w:pos="4111"/>
                <w:tab w:val="left" w:pos="4536"/>
                <w:tab w:val="left" w:pos="5010"/>
              </w:tabs>
              <w:suppressAutoHyphens/>
              <w:spacing w:after="0" w:line="240" w:lineRule="auto"/>
              <w:ind w:left="567" w:right="318"/>
              <w:jc w:val="center"/>
              <w:rPr>
                <w:rFonts w:ascii="Arial Narrow" w:eastAsia="MS Mincho" w:hAnsi="Arial Narrow" w:cs="Arial"/>
                <w:sz w:val="18"/>
                <w:szCs w:val="18"/>
                <w:lang w:val="fr-FR" w:eastAsia="ar-SA"/>
              </w:rPr>
            </w:pPr>
          </w:p>
          <w:p w14:paraId="1525433A"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sz w:val="18"/>
                <w:szCs w:val="18"/>
                <w:lang w:val="fr-FR" w:eastAsia="ar-SA"/>
              </w:rPr>
            </w:pPr>
            <w:r w:rsidRPr="009113BD">
              <w:rPr>
                <w:rFonts w:ascii="Arial Narrow" w:eastAsia="MS Mincho" w:hAnsi="Arial Narrow" w:cs="Arial"/>
                <w:sz w:val="18"/>
                <w:szCs w:val="18"/>
                <w:lang w:val="fr-FR" w:eastAsia="ar-SA"/>
              </w:rPr>
              <w:t>Saphia GAOUAOUI</w:t>
            </w:r>
          </w:p>
          <w:p w14:paraId="5190D4B9"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sz w:val="18"/>
                <w:szCs w:val="18"/>
                <w:lang w:val="fr-FR" w:eastAsia="ar-SA"/>
              </w:rPr>
            </w:pPr>
            <w:r w:rsidRPr="009113BD">
              <w:rPr>
                <w:rFonts w:ascii="Arial Narrow" w:eastAsia="MS Mincho" w:hAnsi="Arial Narrow" w:cs="Arial"/>
                <w:sz w:val="18"/>
                <w:szCs w:val="18"/>
                <w:lang w:val="fr-FR" w:eastAsia="ar-SA"/>
              </w:rPr>
              <w:t>T. +33 (0)1 49 02 14 91</w:t>
            </w:r>
          </w:p>
          <w:p w14:paraId="3C3D9014" w14:textId="77777777" w:rsidR="009113BD" w:rsidRPr="009113BD" w:rsidRDefault="00A50BFF"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sz w:val="18"/>
                <w:szCs w:val="18"/>
                <w:lang w:val="fr-FR" w:eastAsia="ar-SA"/>
              </w:rPr>
            </w:pPr>
            <w:hyperlink r:id="rId9" w:history="1">
              <w:r w:rsidR="009113BD" w:rsidRPr="009113BD">
                <w:rPr>
                  <w:rFonts w:ascii="Arial Narrow" w:eastAsia="MS Mincho" w:hAnsi="Arial Narrow" w:cs="Arial"/>
                  <w:color w:val="0000FF"/>
                  <w:sz w:val="18"/>
                  <w:szCs w:val="18"/>
                  <w:u w:val="single"/>
                  <w:lang w:val="fr-FR" w:eastAsia="ar-SA"/>
                </w:rPr>
                <w:t>saphia.gaouaoui@coface.com</w:t>
              </w:r>
            </w:hyperlink>
          </w:p>
        </w:tc>
        <w:tc>
          <w:tcPr>
            <w:tcW w:w="4536" w:type="dxa"/>
          </w:tcPr>
          <w:p w14:paraId="20CD2510"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b/>
                <w:sz w:val="18"/>
                <w:szCs w:val="18"/>
                <w:lang w:val="fr-FR" w:eastAsia="ar-SA"/>
              </w:rPr>
            </w:pPr>
            <w:r w:rsidRPr="009113BD">
              <w:rPr>
                <w:rFonts w:ascii="Arial Narrow" w:eastAsia="MS Mincho" w:hAnsi="Arial Narrow" w:cs="Arial"/>
                <w:b/>
                <w:sz w:val="18"/>
                <w:szCs w:val="18"/>
                <w:lang w:val="fr-FR" w:eastAsia="ar-SA"/>
              </w:rPr>
              <w:t>ANALYSTS / INVESTORS</w:t>
            </w:r>
          </w:p>
          <w:p w14:paraId="79138976" w14:textId="77777777" w:rsidR="009113BD" w:rsidRPr="009113BD" w:rsidRDefault="009113BD" w:rsidP="009113BD">
            <w:pPr>
              <w:widowControl w:val="0"/>
              <w:tabs>
                <w:tab w:val="left" w:pos="4111"/>
                <w:tab w:val="left" w:pos="4536"/>
                <w:tab w:val="left" w:pos="5010"/>
              </w:tabs>
              <w:suppressAutoHyphens/>
              <w:spacing w:after="0" w:line="240" w:lineRule="auto"/>
              <w:ind w:right="318"/>
              <w:jc w:val="left"/>
              <w:rPr>
                <w:rFonts w:ascii="Arial Narrow" w:eastAsia="MS Mincho" w:hAnsi="Arial Narrow" w:cs="Arial"/>
                <w:spacing w:val="-2"/>
                <w:sz w:val="18"/>
                <w:szCs w:val="18"/>
                <w:lang w:val="fr-FR" w:eastAsia="ar-SA"/>
              </w:rPr>
            </w:pPr>
          </w:p>
          <w:p w14:paraId="7D8D6BF9"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spacing w:val="-2"/>
                <w:sz w:val="18"/>
                <w:szCs w:val="18"/>
                <w:lang w:val="fr-FR" w:eastAsia="ar-SA"/>
              </w:rPr>
            </w:pPr>
            <w:r w:rsidRPr="009113BD">
              <w:rPr>
                <w:rFonts w:ascii="Arial Narrow" w:eastAsia="MS Mincho" w:hAnsi="Arial Narrow" w:cs="Arial"/>
                <w:spacing w:val="-2"/>
                <w:sz w:val="18"/>
                <w:szCs w:val="18"/>
                <w:lang w:val="fr-FR" w:eastAsia="ar-SA"/>
              </w:rPr>
              <w:t>Thomas JACQUET</w:t>
            </w:r>
          </w:p>
          <w:p w14:paraId="35743641"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Times New Roman" w:hAnsi="Arial Narrow" w:cs="Arial"/>
                <w:color w:val="000000"/>
                <w:spacing w:val="-2"/>
                <w:sz w:val="18"/>
                <w:szCs w:val="18"/>
                <w:lang w:val="fr-FR" w:eastAsia="ar-SA"/>
              </w:rPr>
            </w:pPr>
            <w:r w:rsidRPr="009113BD">
              <w:rPr>
                <w:rFonts w:ascii="Arial Narrow" w:eastAsia="MS Mincho" w:hAnsi="Arial Narrow" w:cs="Arial"/>
                <w:spacing w:val="-2"/>
                <w:sz w:val="18"/>
                <w:szCs w:val="18"/>
                <w:lang w:val="fr-FR" w:eastAsia="ar-SA"/>
              </w:rPr>
              <w:t>T. +</w:t>
            </w:r>
            <w:r w:rsidRPr="009113BD">
              <w:rPr>
                <w:rFonts w:ascii="Arial Narrow" w:eastAsia="Times New Roman" w:hAnsi="Arial Narrow" w:cs="Arial"/>
                <w:color w:val="000000"/>
                <w:spacing w:val="-2"/>
                <w:sz w:val="18"/>
                <w:szCs w:val="18"/>
                <w:lang w:val="fr-FR" w:eastAsia="ar-SA"/>
              </w:rPr>
              <w:t>33 (0)1 49 02 12 58</w:t>
            </w:r>
          </w:p>
          <w:p w14:paraId="46522CC3" w14:textId="77777777" w:rsidR="009113BD" w:rsidRPr="009113BD" w:rsidRDefault="00A50BFF" w:rsidP="009113BD">
            <w:pPr>
              <w:widowControl w:val="0"/>
              <w:tabs>
                <w:tab w:val="left" w:pos="4111"/>
                <w:tab w:val="left" w:pos="4536"/>
                <w:tab w:val="left" w:pos="5010"/>
              </w:tabs>
              <w:suppressAutoHyphens/>
              <w:spacing w:after="0" w:line="240" w:lineRule="auto"/>
              <w:ind w:right="318"/>
              <w:jc w:val="center"/>
              <w:rPr>
                <w:rFonts w:ascii="Arial Narrow" w:eastAsia="Times New Roman" w:hAnsi="Arial Narrow" w:cs="Arial"/>
                <w:color w:val="000000"/>
                <w:spacing w:val="-2"/>
                <w:sz w:val="18"/>
                <w:szCs w:val="18"/>
                <w:lang w:val="fr-FR" w:eastAsia="ar-SA"/>
              </w:rPr>
            </w:pPr>
            <w:hyperlink r:id="rId10" w:history="1">
              <w:r w:rsidR="009113BD" w:rsidRPr="009113BD">
                <w:rPr>
                  <w:rFonts w:ascii="Arial Narrow" w:eastAsia="Times New Roman" w:hAnsi="Arial Narrow" w:cs="Arial"/>
                  <w:color w:val="0000FF"/>
                  <w:spacing w:val="-2"/>
                  <w:sz w:val="18"/>
                  <w:szCs w:val="18"/>
                  <w:u w:val="single"/>
                  <w:lang w:val="fr-FR" w:eastAsia="ar-SA"/>
                </w:rPr>
                <w:t>thomas.jacquet@coface.com</w:t>
              </w:r>
            </w:hyperlink>
          </w:p>
          <w:p w14:paraId="598C03D0"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Times New Roman" w:hAnsi="Arial Narrow" w:cs="Arial"/>
                <w:color w:val="000000"/>
                <w:spacing w:val="-2"/>
                <w:sz w:val="18"/>
                <w:szCs w:val="18"/>
                <w:lang w:val="fr-FR" w:eastAsia="ar-SA"/>
              </w:rPr>
            </w:pPr>
          </w:p>
          <w:p w14:paraId="6B7B2DA2"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spacing w:val="-2"/>
                <w:sz w:val="18"/>
                <w:szCs w:val="18"/>
                <w:lang w:val="fr-FR" w:eastAsia="ar-SA"/>
              </w:rPr>
            </w:pPr>
            <w:r w:rsidRPr="009113BD">
              <w:rPr>
                <w:rFonts w:ascii="Arial Narrow" w:eastAsia="MS Mincho" w:hAnsi="Arial Narrow" w:cs="Arial"/>
                <w:spacing w:val="-2"/>
                <w:sz w:val="18"/>
                <w:szCs w:val="18"/>
                <w:lang w:val="fr-FR" w:eastAsia="ar-SA"/>
              </w:rPr>
              <w:t>Benoit CHASTEL</w:t>
            </w:r>
          </w:p>
          <w:p w14:paraId="6F928F58" w14:textId="77777777" w:rsidR="009113BD" w:rsidRPr="009113BD" w:rsidRDefault="009113BD" w:rsidP="009113BD">
            <w:pPr>
              <w:widowControl w:val="0"/>
              <w:tabs>
                <w:tab w:val="left" w:pos="4111"/>
                <w:tab w:val="left" w:pos="4536"/>
                <w:tab w:val="left" w:pos="5010"/>
              </w:tabs>
              <w:suppressAutoHyphens/>
              <w:spacing w:after="0" w:line="240" w:lineRule="auto"/>
              <w:ind w:right="318"/>
              <w:jc w:val="center"/>
              <w:rPr>
                <w:rFonts w:ascii="Arial Narrow" w:eastAsia="Times New Roman" w:hAnsi="Arial Narrow" w:cs="Arial"/>
                <w:color w:val="000000"/>
                <w:spacing w:val="-2"/>
                <w:sz w:val="18"/>
                <w:szCs w:val="18"/>
                <w:lang w:val="fr-FR" w:eastAsia="ar-SA"/>
              </w:rPr>
            </w:pPr>
            <w:r w:rsidRPr="009113BD">
              <w:rPr>
                <w:rFonts w:ascii="Arial Narrow" w:eastAsia="MS Mincho" w:hAnsi="Arial Narrow" w:cs="Arial"/>
                <w:spacing w:val="-2"/>
                <w:sz w:val="18"/>
                <w:szCs w:val="18"/>
                <w:lang w:val="fr-FR" w:eastAsia="ar-SA"/>
              </w:rPr>
              <w:t>T. +</w:t>
            </w:r>
            <w:r w:rsidRPr="009113BD">
              <w:rPr>
                <w:rFonts w:ascii="Arial Narrow" w:eastAsia="Times New Roman" w:hAnsi="Arial Narrow" w:cs="Arial"/>
                <w:color w:val="000000"/>
                <w:spacing w:val="-2"/>
                <w:sz w:val="18"/>
                <w:szCs w:val="18"/>
                <w:lang w:val="fr-FR" w:eastAsia="ar-SA"/>
              </w:rPr>
              <w:t>33 (0)1 49 02 22 28</w:t>
            </w:r>
          </w:p>
          <w:p w14:paraId="64920798" w14:textId="77777777" w:rsidR="009113BD" w:rsidRPr="009113BD" w:rsidRDefault="00A50BFF" w:rsidP="009113BD">
            <w:pPr>
              <w:widowControl w:val="0"/>
              <w:tabs>
                <w:tab w:val="left" w:pos="4111"/>
                <w:tab w:val="left" w:pos="4536"/>
                <w:tab w:val="left" w:pos="5010"/>
              </w:tabs>
              <w:suppressAutoHyphens/>
              <w:spacing w:after="0" w:line="240" w:lineRule="auto"/>
              <w:ind w:right="318"/>
              <w:jc w:val="center"/>
              <w:rPr>
                <w:rFonts w:ascii="Arial Narrow" w:eastAsia="MS Mincho" w:hAnsi="Arial Narrow" w:cs="Arial"/>
                <w:b/>
                <w:sz w:val="18"/>
                <w:szCs w:val="18"/>
                <w:lang w:val="fr-FR" w:eastAsia="ar-SA"/>
              </w:rPr>
            </w:pPr>
            <w:hyperlink r:id="rId11" w:history="1">
              <w:r w:rsidR="009113BD" w:rsidRPr="009113BD">
                <w:rPr>
                  <w:rFonts w:ascii="Arial Narrow" w:eastAsia="Times New Roman" w:hAnsi="Arial Narrow" w:cs="Arial"/>
                  <w:color w:val="0000FF"/>
                  <w:spacing w:val="-2"/>
                  <w:sz w:val="18"/>
                  <w:szCs w:val="18"/>
                  <w:u w:val="single"/>
                  <w:lang w:val="fr-FR" w:eastAsia="ar-SA"/>
                </w:rPr>
                <w:t>benoit.chastel@coface.com</w:t>
              </w:r>
            </w:hyperlink>
          </w:p>
        </w:tc>
      </w:tr>
    </w:tbl>
    <w:p w14:paraId="45284E87" w14:textId="77777777" w:rsidR="009113BD" w:rsidRPr="009113BD" w:rsidRDefault="009113BD" w:rsidP="009113BD">
      <w:pPr>
        <w:widowControl w:val="0"/>
        <w:suppressAutoHyphens/>
        <w:autoSpaceDE w:val="0"/>
        <w:autoSpaceDN w:val="0"/>
        <w:adjustRightInd w:val="0"/>
        <w:spacing w:after="0" w:line="270" w:lineRule="exact"/>
        <w:jc w:val="left"/>
        <w:rPr>
          <w:rFonts w:ascii="Arial Narrow" w:eastAsia="MS Mincho" w:hAnsi="Arial Narrow" w:cs="Arial"/>
          <w:b/>
          <w:sz w:val="18"/>
          <w:szCs w:val="18"/>
          <w:lang w:val="fr-FR" w:eastAsia="ar-SA"/>
        </w:rPr>
      </w:pPr>
    </w:p>
    <w:p w14:paraId="36596ABC" w14:textId="77777777" w:rsidR="009113BD" w:rsidRPr="009113BD" w:rsidRDefault="009113BD" w:rsidP="009113BD">
      <w:pPr>
        <w:widowControl w:val="0"/>
        <w:suppressAutoHyphens/>
        <w:autoSpaceDE w:val="0"/>
        <w:autoSpaceDN w:val="0"/>
        <w:adjustRightInd w:val="0"/>
        <w:spacing w:after="0" w:line="270" w:lineRule="exact"/>
        <w:jc w:val="center"/>
        <w:rPr>
          <w:rFonts w:ascii="Arial Narrow" w:eastAsia="MS Mincho" w:hAnsi="Arial Narrow" w:cs="Arial"/>
          <w:bCs/>
          <w:sz w:val="18"/>
          <w:szCs w:val="24"/>
          <w:lang w:val="en-GB" w:eastAsia="ar-SA"/>
        </w:rPr>
      </w:pPr>
      <w:r w:rsidRPr="009113BD">
        <w:rPr>
          <w:rFonts w:ascii="Arial Narrow" w:eastAsia="MS Mincho" w:hAnsi="Arial Narrow" w:cs="Arial"/>
          <w:b/>
          <w:sz w:val="18"/>
          <w:szCs w:val="18"/>
          <w:lang w:val="en-GB" w:eastAsia="ar-SA"/>
        </w:rPr>
        <w:t xml:space="preserve">FINANCIAL CALENDAR 2020 </w:t>
      </w:r>
      <w:r w:rsidRPr="009113BD">
        <w:rPr>
          <w:rFonts w:ascii="Arial Narrow" w:eastAsia="MS Mincho" w:hAnsi="Arial Narrow" w:cs="Arial"/>
          <w:b/>
          <w:sz w:val="18"/>
          <w:szCs w:val="24"/>
          <w:lang w:val="en-GB" w:eastAsia="ar-SA"/>
        </w:rPr>
        <w:t>(subject to change)</w:t>
      </w:r>
    </w:p>
    <w:p w14:paraId="52037E89" w14:textId="77777777" w:rsidR="009113BD" w:rsidRPr="009113BD" w:rsidRDefault="009113BD" w:rsidP="009113BD">
      <w:pPr>
        <w:widowControl w:val="0"/>
        <w:suppressAutoHyphens/>
        <w:autoSpaceDE w:val="0"/>
        <w:autoSpaceDN w:val="0"/>
        <w:adjustRightInd w:val="0"/>
        <w:spacing w:after="0" w:line="270" w:lineRule="exact"/>
        <w:jc w:val="center"/>
        <w:rPr>
          <w:rFonts w:ascii="Arial Narrow" w:eastAsia="MS Mincho" w:hAnsi="Arial Narrow" w:cs="Arial"/>
          <w:bCs/>
          <w:sz w:val="18"/>
          <w:szCs w:val="24"/>
          <w:lang w:val="en-GB" w:eastAsia="ar-SA"/>
        </w:rPr>
      </w:pPr>
      <w:r w:rsidRPr="009113BD">
        <w:rPr>
          <w:rFonts w:ascii="Arial Narrow" w:eastAsia="MS Mincho" w:hAnsi="Arial Narrow" w:cs="Arial"/>
          <w:bCs/>
          <w:sz w:val="18"/>
          <w:szCs w:val="24"/>
          <w:lang w:val="en-GB" w:eastAsia="ar-SA"/>
        </w:rPr>
        <w:t>Annual General Shareholders’ Meeting 2019: 14 May 2020</w:t>
      </w:r>
    </w:p>
    <w:p w14:paraId="6B1A419B" w14:textId="77777777" w:rsidR="009113BD" w:rsidRPr="009113BD" w:rsidRDefault="009113BD" w:rsidP="009113BD">
      <w:pPr>
        <w:widowControl w:val="0"/>
        <w:suppressAutoHyphens/>
        <w:autoSpaceDE w:val="0"/>
        <w:autoSpaceDN w:val="0"/>
        <w:adjustRightInd w:val="0"/>
        <w:spacing w:after="0" w:line="270" w:lineRule="exact"/>
        <w:jc w:val="center"/>
        <w:rPr>
          <w:rFonts w:ascii="Arial Narrow" w:eastAsia="MS Mincho" w:hAnsi="Arial Narrow" w:cs="Arial"/>
          <w:bCs/>
          <w:sz w:val="18"/>
          <w:szCs w:val="24"/>
          <w:lang w:val="en-GB" w:eastAsia="ar-SA"/>
        </w:rPr>
      </w:pPr>
      <w:r w:rsidRPr="009113BD">
        <w:rPr>
          <w:rFonts w:ascii="Arial Narrow" w:eastAsia="MS Mincho" w:hAnsi="Arial Narrow" w:cs="Arial"/>
          <w:bCs/>
          <w:sz w:val="18"/>
          <w:szCs w:val="24"/>
          <w:lang w:val="en-GB" w:eastAsia="ar-SA"/>
        </w:rPr>
        <w:t>H1-2020 results: 29 July 2020 (after market close)</w:t>
      </w:r>
    </w:p>
    <w:p w14:paraId="6953D077" w14:textId="77777777" w:rsidR="009113BD" w:rsidRPr="009113BD" w:rsidRDefault="009113BD" w:rsidP="009113BD">
      <w:pPr>
        <w:widowControl w:val="0"/>
        <w:suppressAutoHyphens/>
        <w:autoSpaceDE w:val="0"/>
        <w:autoSpaceDN w:val="0"/>
        <w:adjustRightInd w:val="0"/>
        <w:spacing w:after="0" w:line="270" w:lineRule="exact"/>
        <w:jc w:val="center"/>
        <w:rPr>
          <w:rFonts w:ascii="Arial Narrow" w:eastAsia="MS Mincho" w:hAnsi="Arial Narrow" w:cs="Arial"/>
          <w:bCs/>
          <w:sz w:val="18"/>
          <w:szCs w:val="24"/>
          <w:lang w:val="en-GB" w:eastAsia="ar-SA"/>
        </w:rPr>
      </w:pPr>
      <w:proofErr w:type="gramStart"/>
      <w:r w:rsidRPr="009113BD">
        <w:rPr>
          <w:rFonts w:ascii="Arial Narrow" w:eastAsia="MS Mincho" w:hAnsi="Arial Narrow" w:cs="Arial"/>
          <w:bCs/>
          <w:sz w:val="18"/>
          <w:szCs w:val="24"/>
          <w:lang w:val="en-GB" w:eastAsia="ar-SA"/>
        </w:rPr>
        <w:t>9M</w:t>
      </w:r>
      <w:proofErr w:type="gramEnd"/>
      <w:r w:rsidRPr="009113BD">
        <w:rPr>
          <w:rFonts w:ascii="Arial Narrow" w:eastAsia="MS Mincho" w:hAnsi="Arial Narrow" w:cs="Arial"/>
          <w:bCs/>
          <w:sz w:val="18"/>
          <w:szCs w:val="24"/>
          <w:lang w:val="en-GB" w:eastAsia="ar-SA"/>
        </w:rPr>
        <w:t>-2020 results: 29 October 2020 (after market close)</w:t>
      </w:r>
    </w:p>
    <w:p w14:paraId="4F715A7E" w14:textId="77777777" w:rsidR="009113BD" w:rsidRPr="009113BD" w:rsidRDefault="009113BD" w:rsidP="009113BD">
      <w:pPr>
        <w:widowControl w:val="0"/>
        <w:suppressAutoHyphens/>
        <w:autoSpaceDE w:val="0"/>
        <w:autoSpaceDN w:val="0"/>
        <w:adjustRightInd w:val="0"/>
        <w:spacing w:after="0" w:line="270" w:lineRule="exact"/>
        <w:ind w:left="-567"/>
        <w:jc w:val="center"/>
        <w:rPr>
          <w:rFonts w:ascii="Arial Narrow" w:eastAsia="MS Mincho" w:hAnsi="Arial Narrow" w:cs="Arial"/>
          <w:b/>
          <w:bCs/>
          <w:color w:val="000000"/>
          <w:sz w:val="18"/>
          <w:szCs w:val="18"/>
          <w:lang w:val="en-GB" w:eastAsia="ar-SA"/>
        </w:rPr>
      </w:pPr>
    </w:p>
    <w:p w14:paraId="4AA977E1" w14:textId="77777777" w:rsidR="009113BD" w:rsidRPr="009113BD" w:rsidRDefault="009113BD" w:rsidP="009113BD">
      <w:pPr>
        <w:widowControl w:val="0"/>
        <w:suppressAutoHyphens/>
        <w:autoSpaceDE w:val="0"/>
        <w:autoSpaceDN w:val="0"/>
        <w:adjustRightInd w:val="0"/>
        <w:spacing w:after="0" w:line="270" w:lineRule="exact"/>
        <w:jc w:val="center"/>
        <w:rPr>
          <w:rFonts w:ascii="Arial Narrow" w:eastAsia="MS Mincho" w:hAnsi="Arial Narrow" w:cs="Arial"/>
          <w:b/>
          <w:bCs/>
          <w:color w:val="000000"/>
          <w:sz w:val="18"/>
          <w:szCs w:val="18"/>
          <w:lang w:val="en-GB" w:eastAsia="ar-SA"/>
        </w:rPr>
      </w:pPr>
      <w:r w:rsidRPr="009113BD">
        <w:rPr>
          <w:rFonts w:ascii="Arial Narrow" w:eastAsia="MS Mincho" w:hAnsi="Arial Narrow" w:cs="Arial"/>
          <w:b/>
          <w:bCs/>
          <w:color w:val="000000"/>
          <w:sz w:val="18"/>
          <w:szCs w:val="18"/>
          <w:lang w:val="en-GB" w:eastAsia="ar-SA"/>
        </w:rPr>
        <w:t>FINANCIAL INFORMATION</w:t>
      </w:r>
    </w:p>
    <w:p w14:paraId="6268BFFD" w14:textId="77777777" w:rsidR="009113BD" w:rsidRPr="009113BD" w:rsidRDefault="009113BD" w:rsidP="009113BD">
      <w:pPr>
        <w:widowControl w:val="0"/>
        <w:suppressAutoHyphens/>
        <w:autoSpaceDE w:val="0"/>
        <w:autoSpaceDN w:val="0"/>
        <w:adjustRightInd w:val="0"/>
        <w:spacing w:after="0" w:line="270" w:lineRule="exact"/>
        <w:jc w:val="center"/>
        <w:rPr>
          <w:rFonts w:ascii="Arial Narrow" w:eastAsia="MS Mincho" w:hAnsi="Arial Narrow" w:cs="Arial"/>
          <w:bCs/>
          <w:color w:val="000000"/>
          <w:sz w:val="18"/>
          <w:szCs w:val="18"/>
          <w:lang w:val="en-GB" w:eastAsia="ar-SA"/>
        </w:rPr>
      </w:pPr>
      <w:r w:rsidRPr="009113BD">
        <w:rPr>
          <w:rFonts w:ascii="Arial Narrow" w:eastAsia="MS Mincho" w:hAnsi="Arial Narrow" w:cs="Arial"/>
          <w:bCs/>
          <w:color w:val="000000"/>
          <w:sz w:val="18"/>
          <w:szCs w:val="18"/>
          <w:lang w:val="en-GB" w:eastAsia="ar-SA"/>
        </w:rPr>
        <w:t xml:space="preserve">This press release, as well as COFACE SA’s integral regulatory information, </w:t>
      </w:r>
      <w:proofErr w:type="gramStart"/>
      <w:r w:rsidRPr="009113BD">
        <w:rPr>
          <w:rFonts w:ascii="Arial Narrow" w:eastAsia="MS Mincho" w:hAnsi="Arial Narrow" w:cs="Arial"/>
          <w:bCs/>
          <w:color w:val="000000"/>
          <w:sz w:val="18"/>
          <w:szCs w:val="18"/>
          <w:lang w:val="en-GB" w:eastAsia="ar-SA"/>
        </w:rPr>
        <w:t>can be found</w:t>
      </w:r>
      <w:proofErr w:type="gramEnd"/>
      <w:r w:rsidRPr="009113BD">
        <w:rPr>
          <w:rFonts w:ascii="Arial Narrow" w:eastAsia="MS Mincho" w:hAnsi="Arial Narrow" w:cs="Arial"/>
          <w:bCs/>
          <w:color w:val="000000"/>
          <w:sz w:val="18"/>
          <w:szCs w:val="18"/>
          <w:lang w:val="en-GB" w:eastAsia="ar-SA"/>
        </w:rPr>
        <w:t xml:space="preserve"> on the Group’s website:</w:t>
      </w:r>
    </w:p>
    <w:p w14:paraId="679A312A" w14:textId="77777777" w:rsidR="009113BD" w:rsidRPr="009113BD" w:rsidRDefault="00A50BFF" w:rsidP="009113BD">
      <w:pPr>
        <w:widowControl w:val="0"/>
        <w:suppressAutoHyphens/>
        <w:autoSpaceDE w:val="0"/>
        <w:autoSpaceDN w:val="0"/>
        <w:adjustRightInd w:val="0"/>
        <w:spacing w:after="0" w:line="270" w:lineRule="exact"/>
        <w:ind w:left="-567"/>
        <w:jc w:val="center"/>
        <w:rPr>
          <w:rFonts w:ascii="Arial Narrow" w:eastAsia="MS Mincho" w:hAnsi="Arial Narrow" w:cs="Arial"/>
          <w:bCs/>
          <w:color w:val="000000"/>
          <w:sz w:val="18"/>
          <w:szCs w:val="18"/>
          <w:u w:val="single"/>
          <w:lang w:val="en-GB" w:eastAsia="ar-SA"/>
        </w:rPr>
      </w:pPr>
      <w:hyperlink r:id="rId12" w:history="1">
        <w:r w:rsidR="009113BD" w:rsidRPr="009113BD">
          <w:rPr>
            <w:rFonts w:ascii="Arial Narrow" w:eastAsia="MS Mincho" w:hAnsi="Arial Narrow" w:cs="Arial"/>
            <w:bCs/>
            <w:color w:val="0000FF"/>
            <w:sz w:val="18"/>
            <w:szCs w:val="18"/>
            <w:u w:val="single"/>
            <w:lang w:val="en-GB" w:eastAsia="ar-SA"/>
          </w:rPr>
          <w:t>http://www.coface.com/Investors</w:t>
        </w:r>
      </w:hyperlink>
    </w:p>
    <w:p w14:paraId="215CF373" w14:textId="77777777" w:rsidR="009113BD" w:rsidRPr="009113BD" w:rsidRDefault="009113BD" w:rsidP="009113BD">
      <w:pPr>
        <w:widowControl w:val="0"/>
        <w:suppressAutoHyphens/>
        <w:autoSpaceDE w:val="0"/>
        <w:autoSpaceDN w:val="0"/>
        <w:adjustRightInd w:val="0"/>
        <w:spacing w:after="0" w:line="270" w:lineRule="exact"/>
        <w:ind w:left="-567"/>
        <w:jc w:val="center"/>
        <w:rPr>
          <w:rFonts w:ascii="Arial Narrow" w:eastAsia="MS Mincho" w:hAnsi="Arial Narrow" w:cs="Arial"/>
          <w:bCs/>
          <w:color w:val="000000"/>
          <w:sz w:val="18"/>
          <w:szCs w:val="18"/>
          <w:u w:val="single"/>
          <w:lang w:val="en-GB" w:eastAsia="ar-SA"/>
        </w:rPr>
      </w:pPr>
    </w:p>
    <w:p w14:paraId="05F4386E" w14:textId="77777777" w:rsidR="009113BD" w:rsidRPr="009113BD" w:rsidRDefault="009113BD" w:rsidP="009113BD">
      <w:pPr>
        <w:widowControl w:val="0"/>
        <w:tabs>
          <w:tab w:val="left" w:pos="8335"/>
        </w:tabs>
        <w:suppressAutoHyphens/>
        <w:autoSpaceDE w:val="0"/>
        <w:autoSpaceDN w:val="0"/>
        <w:adjustRightInd w:val="0"/>
        <w:spacing w:after="0" w:line="270" w:lineRule="exact"/>
        <w:ind w:right="-29"/>
        <w:jc w:val="center"/>
        <w:rPr>
          <w:rFonts w:ascii="Arial Narrow" w:eastAsia="MS Mincho" w:hAnsi="Arial Narrow" w:cs="Arial"/>
          <w:bCs/>
          <w:color w:val="000000"/>
          <w:sz w:val="18"/>
          <w:szCs w:val="18"/>
          <w:lang w:val="en-GB" w:eastAsia="ar-SA"/>
        </w:rPr>
      </w:pPr>
      <w:r w:rsidRPr="009113BD">
        <w:rPr>
          <w:rFonts w:ascii="Arial Narrow" w:eastAsia="MS Mincho" w:hAnsi="Arial Narrow" w:cs="Arial"/>
          <w:bCs/>
          <w:color w:val="000000"/>
          <w:sz w:val="18"/>
          <w:szCs w:val="18"/>
          <w:lang w:val="en-GB" w:eastAsia="ar-SA"/>
        </w:rPr>
        <w:t>For regulated information on Alternative Performance Measures (APM),</w:t>
      </w:r>
    </w:p>
    <w:p w14:paraId="0525898A" w14:textId="77777777" w:rsidR="009113BD" w:rsidRPr="009113BD" w:rsidRDefault="009113BD" w:rsidP="009113BD">
      <w:pPr>
        <w:widowControl w:val="0"/>
        <w:tabs>
          <w:tab w:val="left" w:pos="8335"/>
        </w:tabs>
        <w:suppressAutoHyphens/>
        <w:autoSpaceDE w:val="0"/>
        <w:autoSpaceDN w:val="0"/>
        <w:adjustRightInd w:val="0"/>
        <w:spacing w:after="0" w:line="270" w:lineRule="exact"/>
        <w:ind w:right="-29"/>
        <w:jc w:val="center"/>
        <w:rPr>
          <w:rFonts w:ascii="Arial Narrow" w:eastAsia="MS Mincho" w:hAnsi="Arial Narrow" w:cs="Arial"/>
          <w:bCs/>
          <w:color w:val="000000"/>
          <w:sz w:val="18"/>
          <w:szCs w:val="18"/>
          <w:lang w:val="en-GB" w:eastAsia="ar-SA"/>
        </w:rPr>
      </w:pPr>
      <w:proofErr w:type="gramStart"/>
      <w:r w:rsidRPr="009113BD">
        <w:rPr>
          <w:rFonts w:ascii="Arial Narrow" w:eastAsia="MS Mincho" w:hAnsi="Arial Narrow" w:cs="Arial"/>
          <w:bCs/>
          <w:color w:val="000000"/>
          <w:sz w:val="18"/>
          <w:szCs w:val="18"/>
          <w:lang w:val="en-GB" w:eastAsia="ar-SA"/>
        </w:rPr>
        <w:t>please</w:t>
      </w:r>
      <w:proofErr w:type="gramEnd"/>
      <w:r w:rsidRPr="009113BD">
        <w:rPr>
          <w:rFonts w:ascii="Arial Narrow" w:eastAsia="MS Mincho" w:hAnsi="Arial Narrow" w:cs="Arial"/>
          <w:bCs/>
          <w:color w:val="000000"/>
          <w:sz w:val="18"/>
          <w:szCs w:val="18"/>
          <w:lang w:val="en-GB" w:eastAsia="ar-SA"/>
        </w:rPr>
        <w:t xml:space="preserve"> refer to our Interim Financial Report for S1-2019 and our 2019 Universal Registration Document.</w:t>
      </w:r>
    </w:p>
    <w:p w14:paraId="0C1A21BE" w14:textId="77777777" w:rsidR="009113BD" w:rsidRPr="009113BD" w:rsidRDefault="009113BD" w:rsidP="009113BD">
      <w:pPr>
        <w:widowControl w:val="0"/>
        <w:suppressAutoHyphens/>
        <w:autoSpaceDE w:val="0"/>
        <w:autoSpaceDN w:val="0"/>
        <w:adjustRightInd w:val="0"/>
        <w:spacing w:after="0" w:line="270" w:lineRule="exact"/>
        <w:ind w:left="360"/>
        <w:jc w:val="center"/>
        <w:rPr>
          <w:rFonts w:ascii="Arial Narrow" w:eastAsia="MS Mincho" w:hAnsi="Arial Narrow" w:cs="Arial"/>
          <w:b/>
          <w:sz w:val="18"/>
          <w:szCs w:val="18"/>
          <w:lang w:val="en-GB" w:eastAsia="ar-SA"/>
        </w:rPr>
      </w:pPr>
    </w:p>
    <w:tbl>
      <w:tblPr>
        <w:tblpPr w:leftFromText="141" w:rightFromText="141" w:bottomFromText="200" w:vertAnchor="text" w:horzAnchor="margin" w:tblpX="-141" w:tblpY="169"/>
        <w:tblW w:w="8788" w:type="dxa"/>
        <w:tblLayout w:type="fixed"/>
        <w:tblCellMar>
          <w:left w:w="0" w:type="dxa"/>
          <w:right w:w="0" w:type="dxa"/>
        </w:tblCellMar>
        <w:tblLook w:val="00A0" w:firstRow="1" w:lastRow="0" w:firstColumn="1" w:lastColumn="0" w:noHBand="0" w:noVBand="0"/>
      </w:tblPr>
      <w:tblGrid>
        <w:gridCol w:w="8788"/>
      </w:tblGrid>
      <w:tr w:rsidR="009113BD" w:rsidRPr="009113BD" w14:paraId="251B26DB" w14:textId="77777777" w:rsidTr="00E83EC2">
        <w:trPr>
          <w:trHeight w:val="220"/>
        </w:trPr>
        <w:tc>
          <w:tcPr>
            <w:tcW w:w="8788" w:type="dxa"/>
            <w:shd w:val="clear" w:color="auto" w:fill="E9EDF4"/>
          </w:tcPr>
          <w:p w14:paraId="618D28C0" w14:textId="77777777" w:rsidR="009113BD" w:rsidRPr="009113BD" w:rsidRDefault="009113BD" w:rsidP="009113BD">
            <w:pPr>
              <w:widowControl w:val="0"/>
              <w:spacing w:after="0" w:line="200" w:lineRule="exact"/>
              <w:ind w:left="101"/>
              <w:jc w:val="left"/>
              <w:rPr>
                <w:rFonts w:ascii="Arial Narrow" w:eastAsia="MS Mincho" w:hAnsi="Arial Narrow" w:cs="Arial"/>
                <w:b/>
                <w:sz w:val="18"/>
                <w:szCs w:val="16"/>
                <w:lang w:val="en-GB" w:eastAsia="ar-SA"/>
              </w:rPr>
            </w:pPr>
          </w:p>
          <w:p w14:paraId="7F612676" w14:textId="77777777" w:rsidR="009113BD" w:rsidRPr="009113BD" w:rsidRDefault="009113BD" w:rsidP="009113BD">
            <w:pPr>
              <w:widowControl w:val="0"/>
              <w:spacing w:after="0" w:line="200" w:lineRule="exact"/>
              <w:ind w:left="101"/>
              <w:jc w:val="left"/>
              <w:rPr>
                <w:rFonts w:ascii="Arial Narrow" w:eastAsia="MS Mincho" w:hAnsi="Arial Narrow" w:cs="Arial"/>
                <w:b/>
                <w:sz w:val="18"/>
                <w:szCs w:val="16"/>
                <w:lang w:val="en-GB" w:eastAsia="ar-SA"/>
              </w:rPr>
            </w:pPr>
            <w:r w:rsidRPr="009113BD">
              <w:rPr>
                <w:rFonts w:ascii="Arial Narrow" w:eastAsia="MS Mincho" w:hAnsi="Arial Narrow" w:cs="Arial"/>
                <w:b/>
                <w:sz w:val="18"/>
                <w:szCs w:val="16"/>
                <w:lang w:val="en-GB" w:eastAsia="ar-SA"/>
              </w:rPr>
              <w:t xml:space="preserve">Coface: for trade </w:t>
            </w:r>
          </w:p>
          <w:p w14:paraId="4D0D7F77" w14:textId="77777777" w:rsidR="009113BD" w:rsidRPr="009113BD" w:rsidRDefault="009113BD" w:rsidP="009113BD">
            <w:pPr>
              <w:widowControl w:val="0"/>
              <w:spacing w:before="60" w:after="60" w:line="240" w:lineRule="atLeast"/>
              <w:ind w:left="142" w:right="113"/>
              <w:rPr>
                <w:rFonts w:ascii="Arial Narrow" w:eastAsia="MS Mincho" w:hAnsi="Arial Narrow" w:cs="Arial"/>
                <w:sz w:val="18"/>
                <w:szCs w:val="16"/>
                <w:lang w:val="en-GB" w:eastAsia="ar-SA"/>
              </w:rPr>
            </w:pPr>
            <w:r w:rsidRPr="009113BD">
              <w:rPr>
                <w:rFonts w:ascii="Arial Narrow" w:eastAsia="MS Mincho" w:hAnsi="Arial Narrow" w:cs="Arial"/>
                <w:sz w:val="18"/>
                <w:szCs w:val="16"/>
                <w:lang w:val="en-GB" w:eastAsia="ar-SA"/>
              </w:rPr>
              <w:t xml:space="preserve">With over 70 years of experience and the most extensive international network, Coface is a leader in trade credit insurance and adjacent specialty services, including Factoring, Single Risk insurance, </w:t>
            </w:r>
            <w:proofErr w:type="gramStart"/>
            <w:r w:rsidRPr="009113BD">
              <w:rPr>
                <w:rFonts w:ascii="Arial Narrow" w:eastAsia="MS Mincho" w:hAnsi="Arial Narrow" w:cs="Arial"/>
                <w:sz w:val="18"/>
                <w:szCs w:val="16"/>
                <w:lang w:val="en-GB" w:eastAsia="ar-SA"/>
              </w:rPr>
              <w:t>Bonding</w:t>
            </w:r>
            <w:proofErr w:type="gramEnd"/>
            <w:r w:rsidRPr="009113BD">
              <w:rPr>
                <w:rFonts w:ascii="Arial Narrow" w:eastAsia="MS Mincho" w:hAnsi="Arial Narrow" w:cs="Arial"/>
                <w:sz w:val="18"/>
                <w:szCs w:val="16"/>
                <w:lang w:val="en-GB" w:eastAsia="ar-SA"/>
              </w:rPr>
              <w:t xml:space="preserve"> and Information services. Coface’s experts work to the beat of the global economy, helping ~50,000 clients build successful, growing, and dynamic businesses across the world. Coface helps companies in their credit decisions. The Group's services and solutions strengthen their ability to sell by protecting them against the risks of non-payment in their domestic and export markets. In 2019, Coface employed ~4,250 people and registered a turnover of €1.5 billion.</w:t>
            </w:r>
          </w:p>
          <w:p w14:paraId="19DFE926" w14:textId="77777777" w:rsidR="009113BD" w:rsidRPr="009113BD" w:rsidRDefault="00A50BFF" w:rsidP="009113BD">
            <w:pPr>
              <w:widowControl w:val="0"/>
              <w:spacing w:before="60" w:after="60" w:line="240" w:lineRule="atLeast"/>
              <w:ind w:right="113"/>
              <w:jc w:val="center"/>
              <w:rPr>
                <w:rFonts w:ascii="Arial Narrow" w:eastAsia="MS Mincho" w:hAnsi="Arial Narrow" w:cs="Arial"/>
                <w:color w:val="0000FF"/>
                <w:sz w:val="18"/>
                <w:szCs w:val="18"/>
                <w:u w:val="single"/>
                <w:lang w:val="en-GB" w:eastAsia="ar-SA"/>
              </w:rPr>
            </w:pPr>
            <w:hyperlink r:id="rId13" w:history="1">
              <w:r w:rsidR="009113BD" w:rsidRPr="009113BD">
                <w:rPr>
                  <w:rFonts w:ascii="Arial Narrow" w:eastAsia="MS Mincho" w:hAnsi="Arial Narrow" w:cs="Arial"/>
                  <w:color w:val="0000FF"/>
                  <w:sz w:val="18"/>
                  <w:szCs w:val="18"/>
                  <w:u w:val="single"/>
                  <w:lang w:val="en-GB" w:eastAsia="ar-SA"/>
                </w:rPr>
                <w:t>www.coface.com</w:t>
              </w:r>
            </w:hyperlink>
          </w:p>
          <w:p w14:paraId="3E002661" w14:textId="77777777" w:rsidR="009113BD" w:rsidRPr="009113BD" w:rsidRDefault="009113BD" w:rsidP="009113BD">
            <w:pPr>
              <w:widowControl w:val="0"/>
              <w:tabs>
                <w:tab w:val="left" w:pos="8202"/>
              </w:tabs>
              <w:autoSpaceDE w:val="0"/>
              <w:autoSpaceDN w:val="0"/>
              <w:adjustRightInd w:val="0"/>
              <w:spacing w:after="0" w:line="240" w:lineRule="atLeast"/>
              <w:ind w:left="348" w:right="1587"/>
              <w:jc w:val="right"/>
              <w:rPr>
                <w:rFonts w:ascii="Arial Narrow" w:eastAsia="MS Mincho" w:hAnsi="Arial Narrow" w:cs="Arial"/>
                <w:sz w:val="18"/>
                <w:szCs w:val="18"/>
                <w:lang w:val="en-GB" w:eastAsia="ar-SA"/>
              </w:rPr>
            </w:pPr>
            <w:r w:rsidRPr="009113BD">
              <w:rPr>
                <w:rFonts w:ascii="Cambria" w:eastAsia="MS Mincho" w:hAnsi="Cambria" w:cs="Cambria"/>
                <w:noProof/>
                <w:sz w:val="24"/>
                <w:szCs w:val="24"/>
                <w:lang w:val="en-GB" w:eastAsia="en-GB"/>
              </w:rPr>
              <w:drawing>
                <wp:anchor distT="0" distB="0" distL="114300" distR="114300" simplePos="0" relativeHeight="251659264" behindDoc="0" locked="0" layoutInCell="1" allowOverlap="1" wp14:anchorId="6FDA99E4" wp14:editId="304EA01D">
                  <wp:simplePos x="0" y="0"/>
                  <wp:positionH relativeFrom="column">
                    <wp:posOffset>5000625</wp:posOffset>
                  </wp:positionH>
                  <wp:positionV relativeFrom="paragraph">
                    <wp:posOffset>143814</wp:posOffset>
                  </wp:positionV>
                  <wp:extent cx="519430" cy="514350"/>
                  <wp:effectExtent l="0" t="0" r="0" b="0"/>
                  <wp:wrapNone/>
                  <wp:docPr id="5" name="Imag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A-listed-emblems_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D2D55" w14:textId="77777777" w:rsidR="009113BD" w:rsidRPr="009113BD" w:rsidRDefault="009113BD" w:rsidP="009113BD">
            <w:pPr>
              <w:widowControl w:val="0"/>
              <w:tabs>
                <w:tab w:val="left" w:pos="8202"/>
              </w:tabs>
              <w:autoSpaceDE w:val="0"/>
              <w:autoSpaceDN w:val="0"/>
              <w:adjustRightInd w:val="0"/>
              <w:spacing w:after="0" w:line="240" w:lineRule="atLeast"/>
              <w:ind w:left="348" w:right="1587"/>
              <w:jc w:val="right"/>
              <w:rPr>
                <w:rFonts w:ascii="Arial Narrow" w:eastAsia="MS Mincho" w:hAnsi="Arial Narrow" w:cs="Arial"/>
                <w:sz w:val="18"/>
                <w:szCs w:val="18"/>
                <w:lang w:val="en-GB" w:eastAsia="ar-SA"/>
              </w:rPr>
            </w:pPr>
            <w:r w:rsidRPr="009113BD">
              <w:rPr>
                <w:rFonts w:ascii="Arial Narrow" w:eastAsia="MS Mincho" w:hAnsi="Arial Narrow" w:cs="Arial"/>
                <w:sz w:val="18"/>
                <w:szCs w:val="18"/>
                <w:lang w:val="en-GB" w:eastAsia="ar-SA"/>
              </w:rPr>
              <w:t>COFACE SA is quoted in Compartment A of Euronext Paris</w:t>
            </w:r>
          </w:p>
          <w:p w14:paraId="2850E468" w14:textId="77777777" w:rsidR="009113BD" w:rsidRPr="009113BD" w:rsidRDefault="009113BD" w:rsidP="009113BD">
            <w:pPr>
              <w:widowControl w:val="0"/>
              <w:tabs>
                <w:tab w:val="left" w:pos="8202"/>
              </w:tabs>
              <w:autoSpaceDE w:val="0"/>
              <w:autoSpaceDN w:val="0"/>
              <w:adjustRightInd w:val="0"/>
              <w:spacing w:after="0" w:line="240" w:lineRule="atLeast"/>
              <w:ind w:left="348" w:right="1587"/>
              <w:jc w:val="right"/>
              <w:rPr>
                <w:rFonts w:ascii="Arial Narrow" w:eastAsia="MS Mincho" w:hAnsi="Arial Narrow" w:cs="Arial"/>
                <w:sz w:val="18"/>
                <w:szCs w:val="18"/>
                <w:lang w:val="fr-FR" w:eastAsia="ar-SA"/>
              </w:rPr>
            </w:pPr>
            <w:r w:rsidRPr="009113BD">
              <w:rPr>
                <w:rFonts w:ascii="Arial Narrow" w:eastAsia="MS Mincho" w:hAnsi="Arial Narrow" w:cs="Arial"/>
                <w:sz w:val="18"/>
                <w:szCs w:val="18"/>
                <w:lang w:val="fr-FR" w:eastAsia="ar-SA"/>
              </w:rPr>
              <w:t>Code ISIN: FR0010667147 / Mnémonique : COFA</w:t>
            </w:r>
          </w:p>
          <w:p w14:paraId="42572B0B" w14:textId="77777777" w:rsidR="009113BD" w:rsidRPr="009113BD" w:rsidRDefault="009113BD" w:rsidP="009113BD">
            <w:pPr>
              <w:widowControl w:val="0"/>
              <w:spacing w:before="60" w:after="60" w:line="240" w:lineRule="auto"/>
              <w:ind w:right="113"/>
              <w:jc w:val="left"/>
              <w:rPr>
                <w:rFonts w:ascii="Arial" w:eastAsia="MS Mincho" w:hAnsi="Arial" w:cs="Arial"/>
                <w:sz w:val="16"/>
                <w:szCs w:val="18"/>
                <w:u w:val="single"/>
                <w:lang w:val="fr-FR" w:eastAsia="ar-SA"/>
              </w:rPr>
            </w:pPr>
          </w:p>
        </w:tc>
      </w:tr>
    </w:tbl>
    <w:p w14:paraId="1DAE5B94" w14:textId="77777777" w:rsidR="009113BD" w:rsidRPr="009113BD" w:rsidRDefault="009113BD" w:rsidP="009113BD">
      <w:pPr>
        <w:widowControl w:val="0"/>
        <w:spacing w:after="0" w:line="240" w:lineRule="auto"/>
        <w:jc w:val="left"/>
        <w:rPr>
          <w:rFonts w:ascii="Arial Narrow" w:eastAsia="Calibri" w:hAnsi="Arial Narrow" w:cs="Arial"/>
          <w:i/>
          <w:sz w:val="16"/>
          <w:szCs w:val="16"/>
          <w:lang w:val="fr-FR" w:eastAsia="fr-FR"/>
        </w:rPr>
      </w:pPr>
    </w:p>
    <w:p w14:paraId="44FC0333" w14:textId="77777777" w:rsidR="009113BD" w:rsidRPr="009113BD" w:rsidRDefault="009113BD" w:rsidP="009113BD">
      <w:pPr>
        <w:widowControl w:val="0"/>
        <w:spacing w:after="0" w:line="240" w:lineRule="auto"/>
        <w:rPr>
          <w:rFonts w:ascii="Arial Narrow" w:eastAsia="Calibri" w:hAnsi="Arial Narrow" w:cs="Arial"/>
          <w:i/>
          <w:sz w:val="16"/>
          <w:szCs w:val="16"/>
          <w:lang w:val="en-GB" w:eastAsia="fr-FR"/>
        </w:rPr>
      </w:pPr>
      <w:r w:rsidRPr="009113BD">
        <w:rPr>
          <w:rFonts w:ascii="Arial Narrow" w:eastAsia="Calibri" w:hAnsi="Arial Narrow" w:cs="Arial"/>
          <w:i/>
          <w:sz w:val="16"/>
          <w:szCs w:val="16"/>
          <w:lang w:val="en-GB" w:eastAsia="fr-FR"/>
        </w:rPr>
        <w:t xml:space="preserve">DISCLAIMER - </w:t>
      </w:r>
      <w:r w:rsidRPr="009113BD">
        <w:rPr>
          <w:rFonts w:ascii="Arial Narrow" w:eastAsia="Calibri" w:hAnsi="Arial Narrow" w:cs="Times New Roman"/>
          <w:sz w:val="16"/>
          <w:szCs w:val="16"/>
          <w:lang w:val="en-GB" w:eastAsia="fr-FR"/>
        </w:rPr>
        <w:t xml:space="preserve">Certain declarations featured in this press release may contain forecasts that notably relate to future events, trends, projects or targets. By nature, these forecasts include identified or unidentified risks and uncertainties, and </w:t>
      </w:r>
      <w:proofErr w:type="gramStart"/>
      <w:r w:rsidRPr="009113BD">
        <w:rPr>
          <w:rFonts w:ascii="Arial Narrow" w:eastAsia="Calibri" w:hAnsi="Arial Narrow" w:cs="Times New Roman"/>
          <w:sz w:val="16"/>
          <w:szCs w:val="16"/>
          <w:lang w:val="en-GB" w:eastAsia="fr-FR"/>
        </w:rPr>
        <w:t>may be affected</w:t>
      </w:r>
      <w:proofErr w:type="gramEnd"/>
      <w:r w:rsidRPr="009113BD">
        <w:rPr>
          <w:rFonts w:ascii="Arial Narrow" w:eastAsia="Calibri" w:hAnsi="Arial Narrow" w:cs="Times New Roman"/>
          <w:sz w:val="16"/>
          <w:szCs w:val="16"/>
          <w:lang w:val="en-GB" w:eastAsia="fr-FR"/>
        </w:rPr>
        <w:t xml:space="preserve"> by many factors likely to give rise to a significant discrepancy between the real results and those stated in these declarations. Please refer to chapter 5 “Main risk factors and their management within the Group” of the Coface Group's 2019 Universal Registration Document filed with AMF </w:t>
      </w:r>
      <w:r w:rsidRPr="009113BD">
        <w:rPr>
          <w:rFonts w:ascii="Arial Narrow" w:eastAsia="Calibri" w:hAnsi="Arial Narrow" w:cs="Times New Roman"/>
          <w:sz w:val="16"/>
          <w:szCs w:val="16"/>
          <w:lang w:val="en-GB" w:eastAsia="ar-SA"/>
        </w:rPr>
        <w:t xml:space="preserve">on 16 April 2020 under the number D.20-0302 </w:t>
      </w:r>
      <w:r w:rsidRPr="009113BD">
        <w:rPr>
          <w:rFonts w:ascii="Arial Narrow" w:eastAsia="Calibri" w:hAnsi="Arial Narrow" w:cs="Times New Roman"/>
          <w:sz w:val="16"/>
          <w:szCs w:val="16"/>
          <w:lang w:val="en-GB" w:eastAsia="fr-FR"/>
        </w:rPr>
        <w:t>in order to obtain a description of certain major factors, risks and uncertainties likely to influence the Coface Group's businesses. The Coface Group disclaims any intention or obligation to publish an update of these forecasts, or provide new information on future events or any other circumstance</w:t>
      </w:r>
      <w:r w:rsidRPr="009113BD">
        <w:rPr>
          <w:rFonts w:ascii="Arial Narrow" w:eastAsia="Calibri" w:hAnsi="Arial Narrow" w:cs="Arial"/>
          <w:i/>
          <w:sz w:val="16"/>
          <w:szCs w:val="16"/>
          <w:lang w:val="en-GB" w:eastAsia="fr-FR"/>
        </w:rPr>
        <w:t>.</w:t>
      </w:r>
    </w:p>
    <w:p w14:paraId="13138B7B" w14:textId="77777777" w:rsidR="00BD4D1B" w:rsidRPr="00B30555" w:rsidRDefault="00BD4D1B">
      <w:pPr>
        <w:rPr>
          <w:rFonts w:ascii="Arial Narrow" w:hAnsi="Arial Narrow" w:cs="Arial"/>
          <w:b/>
          <w:bCs/>
          <w:lang w:val="en-GB" w:eastAsia="ar-SA"/>
        </w:rPr>
      </w:pPr>
    </w:p>
    <w:sectPr w:rsidR="00BD4D1B" w:rsidRPr="00B30555" w:rsidSect="00E8241B">
      <w:headerReference w:type="default" r:id="rId15"/>
      <w:footerReference w:type="default" r:id="rId16"/>
      <w:footnotePr>
        <w:numRestart w:val="eachPage"/>
      </w:footnotePr>
      <w:pgSz w:w="11900" w:h="16837" w:code="9"/>
      <w:pgMar w:top="3119" w:right="1268" w:bottom="1418" w:left="2155" w:header="2835"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C653" w14:textId="77777777" w:rsidR="00F15190" w:rsidRDefault="00F15190">
      <w:r>
        <w:separator/>
      </w:r>
    </w:p>
  </w:endnote>
  <w:endnote w:type="continuationSeparator" w:id="0">
    <w:p w14:paraId="62909028" w14:textId="77777777" w:rsidR="00F15190" w:rsidRDefault="00F15190">
      <w:r>
        <w:continuationSeparator/>
      </w:r>
    </w:p>
  </w:endnote>
  <w:endnote w:type="continuationNotice" w:id="1">
    <w:p w14:paraId="4DDCB344" w14:textId="77777777" w:rsidR="00F15190" w:rsidRDefault="00F15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84A8" w14:textId="428216D3" w:rsidR="00F15190" w:rsidRPr="007053E7" w:rsidRDefault="00F15190" w:rsidP="00B52D42">
    <w:pPr>
      <w:pStyle w:val="Pieddepage"/>
      <w:tabs>
        <w:tab w:val="left" w:pos="7513"/>
      </w:tabs>
      <w:rPr>
        <w:rFonts w:ascii="Arial Narrow" w:hAnsi="Arial Narrow"/>
        <w:sz w:val="16"/>
        <w:szCs w:val="16"/>
        <w:lang w:val="fr-FR"/>
      </w:rPr>
    </w:pPr>
  </w:p>
  <w:sdt>
    <w:sdtPr>
      <w:id w:val="742002451"/>
      <w:docPartObj>
        <w:docPartGallery w:val="Page Numbers (Bottom of Page)"/>
        <w:docPartUnique/>
      </w:docPartObj>
    </w:sdtPr>
    <w:sdtEndPr>
      <w:rPr>
        <w:rFonts w:ascii="Arial Narrow" w:hAnsi="Arial Narrow"/>
      </w:rPr>
    </w:sdtEndPr>
    <w:sdtContent>
      <w:sdt>
        <w:sdtPr>
          <w:id w:val="-1457562291"/>
          <w:docPartObj>
            <w:docPartGallery w:val="Page Numbers (Top of Page)"/>
            <w:docPartUnique/>
          </w:docPartObj>
        </w:sdtPr>
        <w:sdtEndPr>
          <w:rPr>
            <w:rFonts w:ascii="Arial Narrow" w:hAnsi="Arial Narrow"/>
          </w:rPr>
        </w:sdtEndPr>
        <w:sdtContent>
          <w:p w14:paraId="13B27C7D" w14:textId="04C423B6" w:rsidR="00A50BFF" w:rsidRDefault="00A50BFF" w:rsidP="00A50BFF">
            <w:pPr>
              <w:pStyle w:val="Pieddepage"/>
              <w:tabs>
                <w:tab w:val="left" w:pos="7513"/>
              </w:tabs>
              <w:rPr>
                <w:rFonts w:ascii="Arial Narrow" w:hAnsi="Arial Narrow"/>
              </w:rPr>
            </w:pPr>
            <w:r>
              <w:rPr>
                <w:rFonts w:ascii="Arial Narrow" w:hAnsi="Arial Narrow"/>
                <w:sz w:val="16"/>
                <w:szCs w:val="16"/>
              </w:rPr>
              <w:t>Quarterly results Q1-2020</w:t>
            </w:r>
            <w:r>
              <w:rPr>
                <w:rFonts w:ascii="Arial Narrow" w:hAnsi="Arial Narrow"/>
                <w:lang w:val="fr-FR"/>
              </w:rPr>
              <w:tab/>
            </w:r>
            <w:r w:rsidRPr="00335148">
              <w:rPr>
                <w:rFonts w:ascii="Arial Narrow" w:hAnsi="Arial Narrow"/>
                <w:lang w:val="fr-FR"/>
              </w:rPr>
              <w:t xml:space="preserve">Page </w:t>
            </w:r>
            <w:r w:rsidRPr="00335148">
              <w:rPr>
                <w:rFonts w:ascii="Arial Narrow" w:hAnsi="Arial Narrow"/>
                <w:b/>
                <w:bCs/>
              </w:rPr>
              <w:fldChar w:fldCharType="begin"/>
            </w:r>
            <w:r w:rsidRPr="00335148">
              <w:rPr>
                <w:rFonts w:ascii="Arial Narrow" w:hAnsi="Arial Narrow"/>
                <w:b/>
                <w:bCs/>
                <w:lang w:val="fr-FR"/>
              </w:rPr>
              <w:instrText>PAGE</w:instrText>
            </w:r>
            <w:r w:rsidRPr="00335148">
              <w:rPr>
                <w:rFonts w:ascii="Arial Narrow" w:hAnsi="Arial Narrow"/>
                <w:b/>
                <w:bCs/>
              </w:rPr>
              <w:fldChar w:fldCharType="separate"/>
            </w:r>
            <w:r>
              <w:rPr>
                <w:rFonts w:ascii="Arial Narrow" w:hAnsi="Arial Narrow"/>
                <w:b/>
                <w:bCs/>
                <w:noProof/>
                <w:lang w:val="fr-FR"/>
              </w:rPr>
              <w:t>8</w:t>
            </w:r>
            <w:r w:rsidRPr="00335148">
              <w:rPr>
                <w:rFonts w:ascii="Arial Narrow" w:hAnsi="Arial Narrow"/>
                <w:b/>
                <w:bCs/>
              </w:rPr>
              <w:fldChar w:fldCharType="end"/>
            </w:r>
            <w:r w:rsidRPr="00335148">
              <w:rPr>
                <w:rFonts w:ascii="Arial Narrow" w:hAnsi="Arial Narrow"/>
                <w:lang w:val="fr-FR"/>
              </w:rPr>
              <w:t xml:space="preserve"> / </w:t>
            </w:r>
            <w:r w:rsidRPr="00335148">
              <w:rPr>
                <w:rFonts w:ascii="Arial Narrow" w:hAnsi="Arial Narrow"/>
                <w:b/>
                <w:bCs/>
              </w:rPr>
              <w:fldChar w:fldCharType="begin"/>
            </w:r>
            <w:r w:rsidRPr="00335148">
              <w:rPr>
                <w:rFonts w:ascii="Arial Narrow" w:hAnsi="Arial Narrow"/>
                <w:b/>
                <w:bCs/>
                <w:lang w:val="fr-FR"/>
              </w:rPr>
              <w:instrText>NUMPAGES</w:instrText>
            </w:r>
            <w:r w:rsidRPr="00335148">
              <w:rPr>
                <w:rFonts w:ascii="Arial Narrow" w:hAnsi="Arial Narrow"/>
                <w:b/>
                <w:bCs/>
              </w:rPr>
              <w:fldChar w:fldCharType="separate"/>
            </w:r>
            <w:r>
              <w:rPr>
                <w:rFonts w:ascii="Arial Narrow" w:hAnsi="Arial Narrow"/>
                <w:b/>
                <w:bCs/>
                <w:noProof/>
                <w:lang w:val="fr-FR"/>
              </w:rPr>
              <w:t>8</w:t>
            </w:r>
            <w:r w:rsidRPr="00335148">
              <w:rPr>
                <w:rFonts w:ascii="Arial Narrow" w:hAnsi="Arial Narrow"/>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71C39" w14:textId="77777777" w:rsidR="00F15190" w:rsidRDefault="00F15190">
      <w:r>
        <w:separator/>
      </w:r>
    </w:p>
  </w:footnote>
  <w:footnote w:type="continuationSeparator" w:id="0">
    <w:p w14:paraId="03F9A45A" w14:textId="77777777" w:rsidR="00F15190" w:rsidRDefault="00F15190">
      <w:r>
        <w:continuationSeparator/>
      </w:r>
    </w:p>
  </w:footnote>
  <w:footnote w:type="continuationNotice" w:id="1">
    <w:p w14:paraId="1F3CE420" w14:textId="77777777" w:rsidR="00F15190" w:rsidRDefault="00F15190"/>
  </w:footnote>
  <w:footnote w:id="2">
    <w:p w14:paraId="5A120899" w14:textId="77777777" w:rsidR="00F15190" w:rsidRPr="006F2A39" w:rsidRDefault="00F15190" w:rsidP="006F2A39">
      <w:pPr>
        <w:pStyle w:val="Notedebasdepage"/>
        <w:spacing w:after="0"/>
      </w:pPr>
      <w:r w:rsidRPr="006F2A39">
        <w:rPr>
          <w:rFonts w:ascii="Arial Narrow" w:hAnsi="Arial Narrow" w:cs="Arial"/>
          <w:color w:val="000000"/>
          <w:sz w:val="14"/>
          <w:szCs w:val="14"/>
        </w:rPr>
        <w:sym w:font="Symbol" w:char="F02A"/>
      </w:r>
      <w:r w:rsidRPr="006F2A39">
        <w:rPr>
          <w:rFonts w:ascii="Arial Narrow" w:hAnsi="Arial Narrow" w:cs="Arial"/>
          <w:color w:val="000000"/>
        </w:rPr>
        <w:t xml:space="preserve"> </w:t>
      </w:r>
      <w:r w:rsidRPr="009113BD">
        <w:rPr>
          <w:rFonts w:ascii="Arial Narrow" w:hAnsi="Arial Narrow" w:cs="Arial"/>
          <w:color w:val="000000"/>
          <w:sz w:val="14"/>
          <w:szCs w:val="14"/>
          <w:lang w:val="en-GB"/>
        </w:rPr>
        <w:t>Also</w:t>
      </w:r>
      <w:r w:rsidRPr="00347B11">
        <w:rPr>
          <w:rFonts w:ascii="Arial Narrow" w:hAnsi="Arial Narrow" w:cs="Arial"/>
          <w:color w:val="000000"/>
          <w:sz w:val="14"/>
          <w:szCs w:val="14"/>
          <w:lang w:val="en-GB"/>
        </w:rPr>
        <w:t xml:space="preserve"> excludes scope impact</w:t>
      </w:r>
    </w:p>
  </w:footnote>
  <w:footnote w:id="3">
    <w:p w14:paraId="00E0B99E" w14:textId="77777777" w:rsidR="00F15190" w:rsidRPr="007A503D" w:rsidRDefault="00F15190" w:rsidP="00BD4D1B">
      <w:pPr>
        <w:pStyle w:val="Notedebasdepage"/>
        <w:spacing w:after="0" w:line="240" w:lineRule="auto"/>
        <w:rPr>
          <w:rFonts w:ascii="Arial Narrow" w:hAnsi="Arial Narrow" w:cs="Arial"/>
          <w:sz w:val="14"/>
          <w:szCs w:val="14"/>
        </w:rPr>
      </w:pPr>
      <w:r w:rsidRPr="00D463B7">
        <w:rPr>
          <w:rStyle w:val="Appelnotedebasdep"/>
          <w:rFonts w:ascii="Arial Narrow" w:hAnsi="Arial Narrow"/>
          <w:sz w:val="14"/>
          <w:szCs w:val="14"/>
        </w:rPr>
        <w:footnoteRef/>
      </w:r>
      <w:r w:rsidRPr="007A503D">
        <w:rPr>
          <w:rFonts w:ascii="Arial Narrow" w:hAnsi="Arial Narrow"/>
          <w:sz w:val="14"/>
          <w:szCs w:val="14"/>
        </w:rPr>
        <w:t xml:space="preserve"> </w:t>
      </w:r>
      <w:r w:rsidRPr="00BD4D1B">
        <w:rPr>
          <w:rFonts w:ascii="Arial Narrow" w:hAnsi="Arial Narrow" w:cs="Arial"/>
          <w:sz w:val="14"/>
          <w:szCs w:val="14"/>
        </w:rPr>
        <w:t>Book yield calculated on the average of the investment portfolio excluding non-consolidated subsidiaries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5D1D" w14:textId="77777777" w:rsidR="00F15190" w:rsidRPr="00127462" w:rsidRDefault="00F15190">
    <w:pPr>
      <w:pStyle w:val="En-tte"/>
      <w:rPr>
        <w:b/>
        <w:lang w:val="fr-FR"/>
      </w:rPr>
    </w:pPr>
    <w:r w:rsidRPr="00127462">
      <w:rPr>
        <w:b/>
        <w:noProof/>
        <w:lang w:val="en-GB" w:eastAsia="en-GB"/>
      </w:rPr>
      <mc:AlternateContent>
        <mc:Choice Requires="wps">
          <w:drawing>
            <wp:anchor distT="0" distB="0" distL="114935" distR="114935" simplePos="0" relativeHeight="251658752" behindDoc="1" locked="0" layoutInCell="1" allowOverlap="1" wp14:anchorId="6E3444D4" wp14:editId="66416D14">
              <wp:simplePos x="0" y="0"/>
              <wp:positionH relativeFrom="column">
                <wp:posOffset>-37465</wp:posOffset>
              </wp:positionH>
              <wp:positionV relativeFrom="page">
                <wp:posOffset>1503680</wp:posOffset>
              </wp:positionV>
              <wp:extent cx="5755005" cy="3302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D45CC" w14:textId="77777777" w:rsidR="00F15190" w:rsidRDefault="00F15190" w:rsidP="007F54EE">
                          <w:pPr>
                            <w:spacing w:line="270" w:lineRule="exact"/>
                            <w:jc w:val="center"/>
                            <w:rPr>
                              <w:rFonts w:ascii="Arial" w:hAnsi="Arial" w:cs="Arial"/>
                              <w:b/>
                              <w:bCs/>
                              <w:color w:val="4FA76E"/>
                              <w:spacing w:val="518"/>
                              <w:sz w:val="26"/>
                              <w:szCs w:val="26"/>
                            </w:rPr>
                          </w:pPr>
                          <w:r>
                            <w:rPr>
                              <w:rFonts w:ascii="Arial" w:hAnsi="Arial"/>
                              <w:b/>
                              <w:color w:val="4FA76E"/>
                              <w:spacing w:val="518"/>
                              <w:sz w:val="26"/>
                            </w:rPr>
                            <w:t>PRESS RELEASE</w:t>
                          </w:r>
                        </w:p>
                        <w:p w14:paraId="4A2BAFC0" w14:textId="77777777" w:rsidR="00F15190" w:rsidRPr="00861ECE" w:rsidRDefault="00F15190" w:rsidP="00952FD5">
                          <w:pPr>
                            <w:spacing w:line="270" w:lineRule="exact"/>
                            <w:jc w:val="center"/>
                            <w:rPr>
                              <w:rFonts w:ascii="Arial" w:hAnsi="Arial" w:cs="Arial"/>
                              <w:b/>
                              <w:bCs/>
                              <w:color w:val="4FA76E"/>
                              <w:spacing w:val="280"/>
                              <w:sz w:val="26"/>
                              <w:szCs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444D4" id="_x0000_t202" coordsize="21600,21600" o:spt="202" path="m,l,21600r21600,l21600,xe">
              <v:stroke joinstyle="miter"/>
              <v:path gradientshapeok="t" o:connecttype="rect"/>
            </v:shapetype>
            <v:shape id="Zone de texte 9" o:spid="_x0000_s1026" type="#_x0000_t202" style="position:absolute;left:0;text-align:left;margin-left:-2.95pt;margin-top:118.4pt;width:453.15pt;height:2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" stroked="f">
              <v:fill opacity="0"/>
              <v:textbox inset="0,0,0,0">
                <w:txbxContent>
                  <w:p w14:paraId="7ABD45CC" w14:textId="77777777" w:rsidR="00F15190" w:rsidRDefault="00F15190" w:rsidP="007F54EE">
                    <w:pPr>
                      <w:spacing w:line="270" w:lineRule="exact"/>
                      <w:jc w:val="center"/>
                      <w:rPr>
                        <w:rFonts w:ascii="Arial" w:hAnsi="Arial" w:cs="Arial"/>
                        <w:b/>
                        <w:bCs/>
                        <w:color w:val="4FA76E"/>
                        <w:spacing w:val="518"/>
                        <w:sz w:val="26"/>
                        <w:szCs w:val="26"/>
                      </w:rPr>
                    </w:pPr>
                    <w:r>
                      <w:rPr>
                        <w:rFonts w:ascii="Arial" w:hAnsi="Arial"/>
                        <w:b/>
                        <w:color w:val="4FA76E"/>
                        <w:spacing w:val="518"/>
                        <w:sz w:val="26"/>
                      </w:rPr>
                      <w:t>PRESS RELEASE</w:t>
                    </w:r>
                  </w:p>
                  <w:p w14:paraId="4A2BAFC0" w14:textId="77777777" w:rsidR="00F15190" w:rsidRPr="00861ECE" w:rsidRDefault="00F15190" w:rsidP="00952FD5">
                    <w:pPr>
                      <w:spacing w:line="270" w:lineRule="exact"/>
                      <w:jc w:val="center"/>
                      <w:rPr>
                        <w:rFonts w:ascii="Arial" w:hAnsi="Arial" w:cs="Arial"/>
                        <w:b/>
                        <w:bCs/>
                        <w:color w:val="4FA76E"/>
                        <w:spacing w:val="280"/>
                        <w:sz w:val="26"/>
                        <w:szCs w:val="26"/>
                        <w:lang w:val="fr-FR"/>
                      </w:rPr>
                    </w:pPr>
                  </w:p>
                </w:txbxContent>
              </v:textbox>
              <w10:wrap anchory="page"/>
            </v:shape>
          </w:pict>
        </mc:Fallback>
      </mc:AlternateContent>
    </w:r>
    <w:r w:rsidRPr="00127462">
      <w:rPr>
        <w:b/>
        <w:noProof/>
        <w:lang w:val="en-GB" w:eastAsia="en-GB"/>
      </w:rPr>
      <w:drawing>
        <wp:anchor distT="0" distB="0" distL="114935" distR="114935" simplePos="0" relativeHeight="251656704" behindDoc="1" locked="0" layoutInCell="1" allowOverlap="1" wp14:anchorId="7702800A" wp14:editId="35F6EF6D">
          <wp:simplePos x="0" y="0"/>
          <wp:positionH relativeFrom="column">
            <wp:posOffset>-458470</wp:posOffset>
          </wp:positionH>
          <wp:positionV relativeFrom="page">
            <wp:posOffset>585470</wp:posOffset>
          </wp:positionV>
          <wp:extent cx="5761355" cy="1315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15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27462">
      <w:rPr>
        <w:b/>
        <w:noProof/>
        <w:lang w:val="en-GB" w:eastAsia="en-GB"/>
      </w:rPr>
      <mc:AlternateContent>
        <mc:Choice Requires="wps">
          <w:drawing>
            <wp:anchor distT="0" distB="0" distL="114300" distR="114300" simplePos="0" relativeHeight="251657728" behindDoc="1" locked="0" layoutInCell="1" allowOverlap="1" wp14:anchorId="5D4C02BC" wp14:editId="4811D3D8">
              <wp:simplePos x="0" y="0"/>
              <wp:positionH relativeFrom="page">
                <wp:posOffset>107950</wp:posOffset>
              </wp:positionH>
              <wp:positionV relativeFrom="page">
                <wp:posOffset>3564255</wp:posOffset>
              </wp:positionV>
              <wp:extent cx="107950" cy="0"/>
              <wp:effectExtent l="12700" t="11430" r="12700" b="762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58EF7" id="Connecteur droit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3C2EDA"/>
    <w:multiLevelType w:val="hybridMultilevel"/>
    <w:tmpl w:val="4D401FE0"/>
    <w:lvl w:ilvl="0" w:tplc="AC0841CE">
      <w:start w:val="1"/>
      <w:numFmt w:val="bullet"/>
      <w:lvlText w:val=""/>
      <w:lvlJc w:val="left"/>
      <w:pPr>
        <w:ind w:left="720" w:hanging="360"/>
      </w:pPr>
      <w:rPr>
        <w:rFonts w:ascii="Symbol" w:hAnsi="Symbol" w:hint="default"/>
      </w:rPr>
    </w:lvl>
    <w:lvl w:ilvl="1" w:tplc="ED02EB58">
      <w:start w:val="1"/>
      <w:numFmt w:val="bullet"/>
      <w:lvlText w:val="o"/>
      <w:lvlJc w:val="left"/>
      <w:pPr>
        <w:ind w:left="1440" w:hanging="360"/>
      </w:pPr>
      <w:rPr>
        <w:rFonts w:ascii="Courier New" w:hAnsi="Courier New" w:cs="Courier New" w:hint="default"/>
      </w:rPr>
    </w:lvl>
    <w:lvl w:ilvl="2" w:tplc="50F42FCA">
      <w:start w:val="1"/>
      <w:numFmt w:val="bullet"/>
      <w:lvlText w:val=""/>
      <w:lvlJc w:val="left"/>
      <w:pPr>
        <w:ind w:left="2160" w:hanging="360"/>
      </w:pPr>
      <w:rPr>
        <w:rFonts w:ascii="Wingdings" w:hAnsi="Wingdings" w:hint="default"/>
      </w:rPr>
    </w:lvl>
    <w:lvl w:ilvl="3" w:tplc="C1683B2C">
      <w:start w:val="1"/>
      <w:numFmt w:val="bullet"/>
      <w:lvlText w:val=""/>
      <w:lvlJc w:val="left"/>
      <w:pPr>
        <w:ind w:left="2880" w:hanging="360"/>
      </w:pPr>
      <w:rPr>
        <w:rFonts w:ascii="Symbol" w:hAnsi="Symbol" w:hint="default"/>
      </w:rPr>
    </w:lvl>
    <w:lvl w:ilvl="4" w:tplc="7E3A1F62">
      <w:start w:val="1"/>
      <w:numFmt w:val="bullet"/>
      <w:lvlText w:val="o"/>
      <w:lvlJc w:val="left"/>
      <w:pPr>
        <w:ind w:left="3600" w:hanging="360"/>
      </w:pPr>
      <w:rPr>
        <w:rFonts w:ascii="Courier New" w:hAnsi="Courier New" w:cs="Courier New" w:hint="default"/>
      </w:rPr>
    </w:lvl>
    <w:lvl w:ilvl="5" w:tplc="54666738">
      <w:start w:val="1"/>
      <w:numFmt w:val="bullet"/>
      <w:lvlText w:val=""/>
      <w:lvlJc w:val="left"/>
      <w:pPr>
        <w:ind w:left="4320" w:hanging="360"/>
      </w:pPr>
      <w:rPr>
        <w:rFonts w:ascii="Wingdings" w:hAnsi="Wingdings" w:hint="default"/>
      </w:rPr>
    </w:lvl>
    <w:lvl w:ilvl="6" w:tplc="2B6C4E04">
      <w:start w:val="1"/>
      <w:numFmt w:val="bullet"/>
      <w:lvlText w:val=""/>
      <w:lvlJc w:val="left"/>
      <w:pPr>
        <w:ind w:left="5040" w:hanging="360"/>
      </w:pPr>
      <w:rPr>
        <w:rFonts w:ascii="Symbol" w:hAnsi="Symbol" w:hint="default"/>
      </w:rPr>
    </w:lvl>
    <w:lvl w:ilvl="7" w:tplc="86C2483A">
      <w:start w:val="1"/>
      <w:numFmt w:val="bullet"/>
      <w:lvlText w:val="o"/>
      <w:lvlJc w:val="left"/>
      <w:pPr>
        <w:ind w:left="5760" w:hanging="360"/>
      </w:pPr>
      <w:rPr>
        <w:rFonts w:ascii="Courier New" w:hAnsi="Courier New" w:cs="Courier New" w:hint="default"/>
      </w:rPr>
    </w:lvl>
    <w:lvl w:ilvl="8" w:tplc="610EBD92">
      <w:start w:val="1"/>
      <w:numFmt w:val="bullet"/>
      <w:lvlText w:val=""/>
      <w:lvlJc w:val="left"/>
      <w:pPr>
        <w:ind w:left="6480" w:hanging="360"/>
      </w:pPr>
      <w:rPr>
        <w:rFonts w:ascii="Wingdings" w:hAnsi="Wingdings" w:hint="default"/>
      </w:rPr>
    </w:lvl>
  </w:abstractNum>
  <w:abstractNum w:abstractNumId="2" w15:restartNumberingAfterBreak="0">
    <w:nsid w:val="06047CB1"/>
    <w:multiLevelType w:val="hybridMultilevel"/>
    <w:tmpl w:val="A7B2FBB6"/>
    <w:lvl w:ilvl="0" w:tplc="53E0530E">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12D1A"/>
    <w:multiLevelType w:val="hybridMultilevel"/>
    <w:tmpl w:val="EFF887DC"/>
    <w:lvl w:ilvl="0" w:tplc="904C47E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4EEC"/>
    <w:multiLevelType w:val="hybridMultilevel"/>
    <w:tmpl w:val="E10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61969"/>
    <w:multiLevelType w:val="hybridMultilevel"/>
    <w:tmpl w:val="AE42C396"/>
    <w:lvl w:ilvl="0" w:tplc="160E750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C40C9D"/>
    <w:multiLevelType w:val="hybridMultilevel"/>
    <w:tmpl w:val="42401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FD6225"/>
    <w:multiLevelType w:val="hybridMultilevel"/>
    <w:tmpl w:val="E1F2B8A6"/>
    <w:lvl w:ilvl="0" w:tplc="354ADAC8">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733A65"/>
    <w:multiLevelType w:val="hybridMultilevel"/>
    <w:tmpl w:val="03FE95E0"/>
    <w:lvl w:ilvl="0" w:tplc="CCE87B26">
      <w:start w:val="1"/>
      <w:numFmt w:val="bullet"/>
      <w:lvlText w:val=""/>
      <w:lvlJc w:val="left"/>
      <w:pPr>
        <w:ind w:left="720" w:hanging="360"/>
      </w:pPr>
      <w:rPr>
        <w:rFonts w:ascii="Symbol" w:hAnsi="Symbol" w:hint="default"/>
      </w:rPr>
    </w:lvl>
    <w:lvl w:ilvl="1" w:tplc="F8744272" w:tentative="1">
      <w:start w:val="1"/>
      <w:numFmt w:val="bullet"/>
      <w:lvlText w:val="o"/>
      <w:lvlJc w:val="left"/>
      <w:pPr>
        <w:ind w:left="1440" w:hanging="360"/>
      </w:pPr>
      <w:rPr>
        <w:rFonts w:ascii="Courier New" w:hAnsi="Courier New" w:cs="Courier New" w:hint="default"/>
      </w:rPr>
    </w:lvl>
    <w:lvl w:ilvl="2" w:tplc="95CACED4" w:tentative="1">
      <w:start w:val="1"/>
      <w:numFmt w:val="bullet"/>
      <w:lvlText w:val=""/>
      <w:lvlJc w:val="left"/>
      <w:pPr>
        <w:ind w:left="2160" w:hanging="360"/>
      </w:pPr>
      <w:rPr>
        <w:rFonts w:ascii="Wingdings" w:hAnsi="Wingdings" w:hint="default"/>
      </w:rPr>
    </w:lvl>
    <w:lvl w:ilvl="3" w:tplc="148214A2" w:tentative="1">
      <w:start w:val="1"/>
      <w:numFmt w:val="bullet"/>
      <w:lvlText w:val=""/>
      <w:lvlJc w:val="left"/>
      <w:pPr>
        <w:ind w:left="2880" w:hanging="360"/>
      </w:pPr>
      <w:rPr>
        <w:rFonts w:ascii="Symbol" w:hAnsi="Symbol" w:hint="default"/>
      </w:rPr>
    </w:lvl>
    <w:lvl w:ilvl="4" w:tplc="D20E0F52" w:tentative="1">
      <w:start w:val="1"/>
      <w:numFmt w:val="bullet"/>
      <w:lvlText w:val="o"/>
      <w:lvlJc w:val="left"/>
      <w:pPr>
        <w:ind w:left="3600" w:hanging="360"/>
      </w:pPr>
      <w:rPr>
        <w:rFonts w:ascii="Courier New" w:hAnsi="Courier New" w:cs="Courier New" w:hint="default"/>
      </w:rPr>
    </w:lvl>
    <w:lvl w:ilvl="5" w:tplc="06320ACC" w:tentative="1">
      <w:start w:val="1"/>
      <w:numFmt w:val="bullet"/>
      <w:lvlText w:val=""/>
      <w:lvlJc w:val="left"/>
      <w:pPr>
        <w:ind w:left="4320" w:hanging="360"/>
      </w:pPr>
      <w:rPr>
        <w:rFonts w:ascii="Wingdings" w:hAnsi="Wingdings" w:hint="default"/>
      </w:rPr>
    </w:lvl>
    <w:lvl w:ilvl="6" w:tplc="B832EDAC" w:tentative="1">
      <w:start w:val="1"/>
      <w:numFmt w:val="bullet"/>
      <w:lvlText w:val=""/>
      <w:lvlJc w:val="left"/>
      <w:pPr>
        <w:ind w:left="5040" w:hanging="360"/>
      </w:pPr>
      <w:rPr>
        <w:rFonts w:ascii="Symbol" w:hAnsi="Symbol" w:hint="default"/>
      </w:rPr>
    </w:lvl>
    <w:lvl w:ilvl="7" w:tplc="92566F18" w:tentative="1">
      <w:start w:val="1"/>
      <w:numFmt w:val="bullet"/>
      <w:lvlText w:val="o"/>
      <w:lvlJc w:val="left"/>
      <w:pPr>
        <w:ind w:left="5760" w:hanging="360"/>
      </w:pPr>
      <w:rPr>
        <w:rFonts w:ascii="Courier New" w:hAnsi="Courier New" w:cs="Courier New" w:hint="default"/>
      </w:rPr>
    </w:lvl>
    <w:lvl w:ilvl="8" w:tplc="4F20F566" w:tentative="1">
      <w:start w:val="1"/>
      <w:numFmt w:val="bullet"/>
      <w:lvlText w:val=""/>
      <w:lvlJc w:val="left"/>
      <w:pPr>
        <w:ind w:left="6480" w:hanging="360"/>
      </w:pPr>
      <w:rPr>
        <w:rFonts w:ascii="Wingdings" w:hAnsi="Wingdings" w:hint="default"/>
      </w:rPr>
    </w:lvl>
  </w:abstractNum>
  <w:abstractNum w:abstractNumId="9" w15:restartNumberingAfterBreak="0">
    <w:nsid w:val="1C69142C"/>
    <w:multiLevelType w:val="hybridMultilevel"/>
    <w:tmpl w:val="131A4A24"/>
    <w:lvl w:ilvl="0" w:tplc="BA968E42">
      <w:start w:val="14"/>
      <w:numFmt w:val="bullet"/>
      <w:lvlText w:val="-"/>
      <w:lvlJc w:val="left"/>
      <w:pPr>
        <w:ind w:left="720" w:hanging="360"/>
      </w:pPr>
      <w:rPr>
        <w:rFonts w:ascii="Arial Narrow" w:eastAsia="MS Mincho"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BE60B2"/>
    <w:multiLevelType w:val="hybridMultilevel"/>
    <w:tmpl w:val="95349AD6"/>
    <w:lvl w:ilvl="0" w:tplc="4AA87D7C">
      <w:numFmt w:val="bullet"/>
      <w:lvlText w:val="-"/>
      <w:lvlJc w:val="left"/>
      <w:pPr>
        <w:ind w:left="1065" w:hanging="705"/>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B555B1"/>
    <w:multiLevelType w:val="hybridMultilevel"/>
    <w:tmpl w:val="4DE6EA72"/>
    <w:lvl w:ilvl="0" w:tplc="15EC6A38">
      <w:start w:val="1"/>
      <w:numFmt w:val="bullet"/>
      <w:lvlText w:val=""/>
      <w:lvlJc w:val="left"/>
      <w:pPr>
        <w:ind w:left="720" w:hanging="360"/>
      </w:pPr>
      <w:rPr>
        <w:rFonts w:ascii="Symbol" w:hAnsi="Symbol" w:hint="default"/>
      </w:rPr>
    </w:lvl>
    <w:lvl w:ilvl="1" w:tplc="5356725C" w:tentative="1">
      <w:start w:val="1"/>
      <w:numFmt w:val="bullet"/>
      <w:lvlText w:val="o"/>
      <w:lvlJc w:val="left"/>
      <w:pPr>
        <w:ind w:left="1440" w:hanging="360"/>
      </w:pPr>
      <w:rPr>
        <w:rFonts w:ascii="Courier New" w:hAnsi="Courier New" w:cs="Courier New" w:hint="default"/>
      </w:rPr>
    </w:lvl>
    <w:lvl w:ilvl="2" w:tplc="CAEA10AC" w:tentative="1">
      <w:start w:val="1"/>
      <w:numFmt w:val="bullet"/>
      <w:lvlText w:val=""/>
      <w:lvlJc w:val="left"/>
      <w:pPr>
        <w:ind w:left="2160" w:hanging="360"/>
      </w:pPr>
      <w:rPr>
        <w:rFonts w:ascii="Wingdings" w:hAnsi="Wingdings" w:hint="default"/>
      </w:rPr>
    </w:lvl>
    <w:lvl w:ilvl="3" w:tplc="EB4EC250" w:tentative="1">
      <w:start w:val="1"/>
      <w:numFmt w:val="bullet"/>
      <w:lvlText w:val=""/>
      <w:lvlJc w:val="left"/>
      <w:pPr>
        <w:ind w:left="2880" w:hanging="360"/>
      </w:pPr>
      <w:rPr>
        <w:rFonts w:ascii="Symbol" w:hAnsi="Symbol" w:hint="default"/>
      </w:rPr>
    </w:lvl>
    <w:lvl w:ilvl="4" w:tplc="120EEF00" w:tentative="1">
      <w:start w:val="1"/>
      <w:numFmt w:val="bullet"/>
      <w:lvlText w:val="o"/>
      <w:lvlJc w:val="left"/>
      <w:pPr>
        <w:ind w:left="3600" w:hanging="360"/>
      </w:pPr>
      <w:rPr>
        <w:rFonts w:ascii="Courier New" w:hAnsi="Courier New" w:cs="Courier New" w:hint="default"/>
      </w:rPr>
    </w:lvl>
    <w:lvl w:ilvl="5" w:tplc="72186A74" w:tentative="1">
      <w:start w:val="1"/>
      <w:numFmt w:val="bullet"/>
      <w:lvlText w:val=""/>
      <w:lvlJc w:val="left"/>
      <w:pPr>
        <w:ind w:left="4320" w:hanging="360"/>
      </w:pPr>
      <w:rPr>
        <w:rFonts w:ascii="Wingdings" w:hAnsi="Wingdings" w:hint="default"/>
      </w:rPr>
    </w:lvl>
    <w:lvl w:ilvl="6" w:tplc="817611F4" w:tentative="1">
      <w:start w:val="1"/>
      <w:numFmt w:val="bullet"/>
      <w:lvlText w:val=""/>
      <w:lvlJc w:val="left"/>
      <w:pPr>
        <w:ind w:left="5040" w:hanging="360"/>
      </w:pPr>
      <w:rPr>
        <w:rFonts w:ascii="Symbol" w:hAnsi="Symbol" w:hint="default"/>
      </w:rPr>
    </w:lvl>
    <w:lvl w:ilvl="7" w:tplc="20E2E2CA" w:tentative="1">
      <w:start w:val="1"/>
      <w:numFmt w:val="bullet"/>
      <w:lvlText w:val="o"/>
      <w:lvlJc w:val="left"/>
      <w:pPr>
        <w:ind w:left="5760" w:hanging="360"/>
      </w:pPr>
      <w:rPr>
        <w:rFonts w:ascii="Courier New" w:hAnsi="Courier New" w:cs="Courier New" w:hint="default"/>
      </w:rPr>
    </w:lvl>
    <w:lvl w:ilvl="8" w:tplc="ECDAECE0" w:tentative="1">
      <w:start w:val="1"/>
      <w:numFmt w:val="bullet"/>
      <w:lvlText w:val=""/>
      <w:lvlJc w:val="left"/>
      <w:pPr>
        <w:ind w:left="6480" w:hanging="360"/>
      </w:pPr>
      <w:rPr>
        <w:rFonts w:ascii="Wingdings" w:hAnsi="Wingdings" w:hint="default"/>
      </w:rPr>
    </w:lvl>
  </w:abstractNum>
  <w:abstractNum w:abstractNumId="12" w15:restartNumberingAfterBreak="0">
    <w:nsid w:val="24F46BF9"/>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0559DF"/>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9C71FB"/>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1E59E3"/>
    <w:multiLevelType w:val="hybridMultilevel"/>
    <w:tmpl w:val="C7301C8A"/>
    <w:lvl w:ilvl="0" w:tplc="304E66B2">
      <w:numFmt w:val="bullet"/>
      <w:lvlText w:val="•"/>
      <w:lvlJc w:val="left"/>
      <w:pPr>
        <w:tabs>
          <w:tab w:val="num" w:pos="720"/>
        </w:tabs>
        <w:ind w:left="720" w:hanging="360"/>
      </w:pPr>
      <w:rPr>
        <w:rFonts w:ascii="Arial" w:hAnsi="Arial" w:hint="default"/>
        <w:color w:val="61B57C"/>
        <w:lang w:val="fr-FR"/>
      </w:rPr>
    </w:lvl>
    <w:lvl w:ilvl="1" w:tplc="EA1839E2">
      <w:start w:val="37"/>
      <w:numFmt w:val="bullet"/>
      <w:lvlText w:val="-"/>
      <w:lvlJc w:val="left"/>
      <w:pPr>
        <w:tabs>
          <w:tab w:val="num" w:pos="786"/>
        </w:tabs>
        <w:ind w:left="786" w:hanging="360"/>
      </w:pPr>
      <w:rPr>
        <w:rFonts w:ascii="Arial Narrow" w:hAnsi="Arial Narrow" w:hint="default"/>
      </w:rPr>
    </w:lvl>
    <w:lvl w:ilvl="2" w:tplc="DC66CAC2">
      <w:start w:val="1"/>
      <w:numFmt w:val="bullet"/>
      <w:lvlText w:val=""/>
      <w:lvlJc w:val="left"/>
      <w:pPr>
        <w:tabs>
          <w:tab w:val="num" w:pos="2160"/>
        </w:tabs>
        <w:ind w:left="2160" w:hanging="360"/>
      </w:pPr>
      <w:rPr>
        <w:rFonts w:ascii="Wingdings" w:hAnsi="Wingdings" w:hint="default"/>
      </w:rPr>
    </w:lvl>
    <w:lvl w:ilvl="3" w:tplc="192E55CC">
      <w:start w:val="1"/>
      <w:numFmt w:val="bullet"/>
      <w:lvlText w:val=""/>
      <w:lvlJc w:val="left"/>
      <w:pPr>
        <w:tabs>
          <w:tab w:val="num" w:pos="2880"/>
        </w:tabs>
        <w:ind w:left="2880" w:hanging="360"/>
      </w:pPr>
      <w:rPr>
        <w:rFonts w:ascii="Wingdings" w:hAnsi="Wingdings" w:hint="default"/>
      </w:rPr>
    </w:lvl>
    <w:lvl w:ilvl="4" w:tplc="C37E5700" w:tentative="1">
      <w:start w:val="1"/>
      <w:numFmt w:val="bullet"/>
      <w:lvlText w:val=""/>
      <w:lvlJc w:val="left"/>
      <w:pPr>
        <w:tabs>
          <w:tab w:val="num" w:pos="3600"/>
        </w:tabs>
        <w:ind w:left="3600" w:hanging="360"/>
      </w:pPr>
      <w:rPr>
        <w:rFonts w:ascii="Wingdings" w:hAnsi="Wingdings" w:hint="default"/>
      </w:rPr>
    </w:lvl>
    <w:lvl w:ilvl="5" w:tplc="32B46AE0" w:tentative="1">
      <w:start w:val="1"/>
      <w:numFmt w:val="bullet"/>
      <w:lvlText w:val=""/>
      <w:lvlJc w:val="left"/>
      <w:pPr>
        <w:tabs>
          <w:tab w:val="num" w:pos="4320"/>
        </w:tabs>
        <w:ind w:left="4320" w:hanging="360"/>
      </w:pPr>
      <w:rPr>
        <w:rFonts w:ascii="Wingdings" w:hAnsi="Wingdings" w:hint="default"/>
      </w:rPr>
    </w:lvl>
    <w:lvl w:ilvl="6" w:tplc="B1FA70A2" w:tentative="1">
      <w:start w:val="1"/>
      <w:numFmt w:val="bullet"/>
      <w:lvlText w:val=""/>
      <w:lvlJc w:val="left"/>
      <w:pPr>
        <w:tabs>
          <w:tab w:val="num" w:pos="5040"/>
        </w:tabs>
        <w:ind w:left="5040" w:hanging="360"/>
      </w:pPr>
      <w:rPr>
        <w:rFonts w:ascii="Wingdings" w:hAnsi="Wingdings" w:hint="default"/>
      </w:rPr>
    </w:lvl>
    <w:lvl w:ilvl="7" w:tplc="68B69C08" w:tentative="1">
      <w:start w:val="1"/>
      <w:numFmt w:val="bullet"/>
      <w:lvlText w:val=""/>
      <w:lvlJc w:val="left"/>
      <w:pPr>
        <w:tabs>
          <w:tab w:val="num" w:pos="5760"/>
        </w:tabs>
        <w:ind w:left="5760" w:hanging="360"/>
      </w:pPr>
      <w:rPr>
        <w:rFonts w:ascii="Wingdings" w:hAnsi="Wingdings" w:hint="default"/>
      </w:rPr>
    </w:lvl>
    <w:lvl w:ilvl="8" w:tplc="61AA2C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A810CA"/>
    <w:multiLevelType w:val="hybridMultilevel"/>
    <w:tmpl w:val="F4AE3E0C"/>
    <w:lvl w:ilvl="0" w:tplc="96721962">
      <w:start w:val="1"/>
      <w:numFmt w:val="bullet"/>
      <w:lvlText w:val=""/>
      <w:lvlJc w:val="left"/>
      <w:pPr>
        <w:ind w:left="720" w:hanging="360"/>
      </w:pPr>
      <w:rPr>
        <w:rFonts w:ascii="Symbol" w:hAnsi="Symbol" w:hint="default"/>
      </w:rPr>
    </w:lvl>
    <w:lvl w:ilvl="1" w:tplc="3DE016F6" w:tentative="1">
      <w:start w:val="1"/>
      <w:numFmt w:val="bullet"/>
      <w:lvlText w:val="o"/>
      <w:lvlJc w:val="left"/>
      <w:pPr>
        <w:ind w:left="1440" w:hanging="360"/>
      </w:pPr>
      <w:rPr>
        <w:rFonts w:ascii="Courier New" w:hAnsi="Courier New" w:cs="Courier New" w:hint="default"/>
      </w:rPr>
    </w:lvl>
    <w:lvl w:ilvl="2" w:tplc="38EE5CCA" w:tentative="1">
      <w:start w:val="1"/>
      <w:numFmt w:val="bullet"/>
      <w:lvlText w:val=""/>
      <w:lvlJc w:val="left"/>
      <w:pPr>
        <w:ind w:left="2160" w:hanging="360"/>
      </w:pPr>
      <w:rPr>
        <w:rFonts w:ascii="Wingdings" w:hAnsi="Wingdings" w:hint="default"/>
      </w:rPr>
    </w:lvl>
    <w:lvl w:ilvl="3" w:tplc="07C095F0" w:tentative="1">
      <w:start w:val="1"/>
      <w:numFmt w:val="bullet"/>
      <w:lvlText w:val=""/>
      <w:lvlJc w:val="left"/>
      <w:pPr>
        <w:ind w:left="2880" w:hanging="360"/>
      </w:pPr>
      <w:rPr>
        <w:rFonts w:ascii="Symbol" w:hAnsi="Symbol" w:hint="default"/>
      </w:rPr>
    </w:lvl>
    <w:lvl w:ilvl="4" w:tplc="B114CE96" w:tentative="1">
      <w:start w:val="1"/>
      <w:numFmt w:val="bullet"/>
      <w:lvlText w:val="o"/>
      <w:lvlJc w:val="left"/>
      <w:pPr>
        <w:ind w:left="3600" w:hanging="360"/>
      </w:pPr>
      <w:rPr>
        <w:rFonts w:ascii="Courier New" w:hAnsi="Courier New" w:cs="Courier New" w:hint="default"/>
      </w:rPr>
    </w:lvl>
    <w:lvl w:ilvl="5" w:tplc="C4EAF9BA" w:tentative="1">
      <w:start w:val="1"/>
      <w:numFmt w:val="bullet"/>
      <w:lvlText w:val=""/>
      <w:lvlJc w:val="left"/>
      <w:pPr>
        <w:ind w:left="4320" w:hanging="360"/>
      </w:pPr>
      <w:rPr>
        <w:rFonts w:ascii="Wingdings" w:hAnsi="Wingdings" w:hint="default"/>
      </w:rPr>
    </w:lvl>
    <w:lvl w:ilvl="6" w:tplc="F4248E82" w:tentative="1">
      <w:start w:val="1"/>
      <w:numFmt w:val="bullet"/>
      <w:lvlText w:val=""/>
      <w:lvlJc w:val="left"/>
      <w:pPr>
        <w:ind w:left="5040" w:hanging="360"/>
      </w:pPr>
      <w:rPr>
        <w:rFonts w:ascii="Symbol" w:hAnsi="Symbol" w:hint="default"/>
      </w:rPr>
    </w:lvl>
    <w:lvl w:ilvl="7" w:tplc="BBB6A3E0" w:tentative="1">
      <w:start w:val="1"/>
      <w:numFmt w:val="bullet"/>
      <w:lvlText w:val="o"/>
      <w:lvlJc w:val="left"/>
      <w:pPr>
        <w:ind w:left="5760" w:hanging="360"/>
      </w:pPr>
      <w:rPr>
        <w:rFonts w:ascii="Courier New" w:hAnsi="Courier New" w:cs="Courier New" w:hint="default"/>
      </w:rPr>
    </w:lvl>
    <w:lvl w:ilvl="8" w:tplc="59769BA0" w:tentative="1">
      <w:start w:val="1"/>
      <w:numFmt w:val="bullet"/>
      <w:lvlText w:val=""/>
      <w:lvlJc w:val="left"/>
      <w:pPr>
        <w:ind w:left="6480" w:hanging="360"/>
      </w:pPr>
      <w:rPr>
        <w:rFonts w:ascii="Wingdings" w:hAnsi="Wingdings" w:hint="default"/>
      </w:rPr>
    </w:lvl>
  </w:abstractNum>
  <w:abstractNum w:abstractNumId="17" w15:restartNumberingAfterBreak="0">
    <w:nsid w:val="5C1E2DCB"/>
    <w:multiLevelType w:val="hybridMultilevel"/>
    <w:tmpl w:val="12A4645C"/>
    <w:lvl w:ilvl="0" w:tplc="BA061378">
      <w:start w:val="5"/>
      <w:numFmt w:val="bullet"/>
      <w:lvlText w:val="-"/>
      <w:lvlJc w:val="left"/>
      <w:pPr>
        <w:ind w:left="720" w:hanging="360"/>
      </w:pPr>
      <w:rPr>
        <w:rFonts w:ascii="Calibri" w:hAnsi="Calibr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F54C7"/>
    <w:multiLevelType w:val="hybridMultilevel"/>
    <w:tmpl w:val="BEAAF6DE"/>
    <w:lvl w:ilvl="0" w:tplc="7E38A14E">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C6AB2"/>
    <w:multiLevelType w:val="hybridMultilevel"/>
    <w:tmpl w:val="58E49966"/>
    <w:lvl w:ilvl="0" w:tplc="FE1053D8">
      <w:start w:val="1"/>
      <w:numFmt w:val="bullet"/>
      <w:lvlText w:val=""/>
      <w:lvlJc w:val="left"/>
      <w:pPr>
        <w:ind w:left="720" w:hanging="360"/>
      </w:pPr>
      <w:rPr>
        <w:rFonts w:ascii="Symbol" w:hAnsi="Symbol" w:hint="default"/>
      </w:rPr>
    </w:lvl>
    <w:lvl w:ilvl="1" w:tplc="0910F858" w:tentative="1">
      <w:start w:val="1"/>
      <w:numFmt w:val="bullet"/>
      <w:lvlText w:val="o"/>
      <w:lvlJc w:val="left"/>
      <w:pPr>
        <w:ind w:left="1440" w:hanging="360"/>
      </w:pPr>
      <w:rPr>
        <w:rFonts w:ascii="Courier New" w:hAnsi="Courier New" w:cs="Courier New" w:hint="default"/>
      </w:rPr>
    </w:lvl>
    <w:lvl w:ilvl="2" w:tplc="EC668790" w:tentative="1">
      <w:start w:val="1"/>
      <w:numFmt w:val="bullet"/>
      <w:lvlText w:val=""/>
      <w:lvlJc w:val="left"/>
      <w:pPr>
        <w:ind w:left="2160" w:hanging="360"/>
      </w:pPr>
      <w:rPr>
        <w:rFonts w:ascii="Wingdings" w:hAnsi="Wingdings" w:hint="default"/>
      </w:rPr>
    </w:lvl>
    <w:lvl w:ilvl="3" w:tplc="0666AF3A" w:tentative="1">
      <w:start w:val="1"/>
      <w:numFmt w:val="bullet"/>
      <w:lvlText w:val=""/>
      <w:lvlJc w:val="left"/>
      <w:pPr>
        <w:ind w:left="2880" w:hanging="360"/>
      </w:pPr>
      <w:rPr>
        <w:rFonts w:ascii="Symbol" w:hAnsi="Symbol" w:hint="default"/>
      </w:rPr>
    </w:lvl>
    <w:lvl w:ilvl="4" w:tplc="B9801A0E" w:tentative="1">
      <w:start w:val="1"/>
      <w:numFmt w:val="bullet"/>
      <w:lvlText w:val="o"/>
      <w:lvlJc w:val="left"/>
      <w:pPr>
        <w:ind w:left="3600" w:hanging="360"/>
      </w:pPr>
      <w:rPr>
        <w:rFonts w:ascii="Courier New" w:hAnsi="Courier New" w:cs="Courier New" w:hint="default"/>
      </w:rPr>
    </w:lvl>
    <w:lvl w:ilvl="5" w:tplc="05DAD8E4" w:tentative="1">
      <w:start w:val="1"/>
      <w:numFmt w:val="bullet"/>
      <w:lvlText w:val=""/>
      <w:lvlJc w:val="left"/>
      <w:pPr>
        <w:ind w:left="4320" w:hanging="360"/>
      </w:pPr>
      <w:rPr>
        <w:rFonts w:ascii="Wingdings" w:hAnsi="Wingdings" w:hint="default"/>
      </w:rPr>
    </w:lvl>
    <w:lvl w:ilvl="6" w:tplc="669AA572" w:tentative="1">
      <w:start w:val="1"/>
      <w:numFmt w:val="bullet"/>
      <w:lvlText w:val=""/>
      <w:lvlJc w:val="left"/>
      <w:pPr>
        <w:ind w:left="5040" w:hanging="360"/>
      </w:pPr>
      <w:rPr>
        <w:rFonts w:ascii="Symbol" w:hAnsi="Symbol" w:hint="default"/>
      </w:rPr>
    </w:lvl>
    <w:lvl w:ilvl="7" w:tplc="A6FA4A1E" w:tentative="1">
      <w:start w:val="1"/>
      <w:numFmt w:val="bullet"/>
      <w:lvlText w:val="o"/>
      <w:lvlJc w:val="left"/>
      <w:pPr>
        <w:ind w:left="5760" w:hanging="360"/>
      </w:pPr>
      <w:rPr>
        <w:rFonts w:ascii="Courier New" w:hAnsi="Courier New" w:cs="Courier New" w:hint="default"/>
      </w:rPr>
    </w:lvl>
    <w:lvl w:ilvl="8" w:tplc="C2943B4E" w:tentative="1">
      <w:start w:val="1"/>
      <w:numFmt w:val="bullet"/>
      <w:lvlText w:val=""/>
      <w:lvlJc w:val="left"/>
      <w:pPr>
        <w:ind w:left="6480" w:hanging="360"/>
      </w:pPr>
      <w:rPr>
        <w:rFonts w:ascii="Wingdings" w:hAnsi="Wingdings" w:hint="default"/>
      </w:rPr>
    </w:lvl>
  </w:abstractNum>
  <w:abstractNum w:abstractNumId="20" w15:restartNumberingAfterBreak="0">
    <w:nsid w:val="628544E6"/>
    <w:multiLevelType w:val="hybridMultilevel"/>
    <w:tmpl w:val="E1B6ADAE"/>
    <w:lvl w:ilvl="0" w:tplc="6F3A84A2">
      <w:start w:val="1"/>
      <w:numFmt w:val="decimal"/>
      <w:lvlText w:val="%1"/>
      <w:lvlJc w:val="left"/>
      <w:pPr>
        <w:tabs>
          <w:tab w:val="num" w:pos="720"/>
        </w:tabs>
        <w:ind w:left="720" w:hanging="360"/>
      </w:pPr>
    </w:lvl>
    <w:lvl w:ilvl="1" w:tplc="E5160C64" w:tentative="1">
      <w:start w:val="1"/>
      <w:numFmt w:val="decimal"/>
      <w:lvlText w:val="%2"/>
      <w:lvlJc w:val="left"/>
      <w:pPr>
        <w:tabs>
          <w:tab w:val="num" w:pos="1440"/>
        </w:tabs>
        <w:ind w:left="1440" w:hanging="360"/>
      </w:pPr>
    </w:lvl>
    <w:lvl w:ilvl="2" w:tplc="AFB2CB26" w:tentative="1">
      <w:start w:val="1"/>
      <w:numFmt w:val="decimal"/>
      <w:lvlText w:val="%3"/>
      <w:lvlJc w:val="left"/>
      <w:pPr>
        <w:tabs>
          <w:tab w:val="num" w:pos="2160"/>
        </w:tabs>
        <w:ind w:left="2160" w:hanging="360"/>
      </w:pPr>
    </w:lvl>
    <w:lvl w:ilvl="3" w:tplc="EC401186" w:tentative="1">
      <w:start w:val="1"/>
      <w:numFmt w:val="decimal"/>
      <w:lvlText w:val="%4"/>
      <w:lvlJc w:val="left"/>
      <w:pPr>
        <w:tabs>
          <w:tab w:val="num" w:pos="2880"/>
        </w:tabs>
        <w:ind w:left="2880" w:hanging="360"/>
      </w:pPr>
    </w:lvl>
    <w:lvl w:ilvl="4" w:tplc="BA26BEAC" w:tentative="1">
      <w:start w:val="1"/>
      <w:numFmt w:val="decimal"/>
      <w:lvlText w:val="%5"/>
      <w:lvlJc w:val="left"/>
      <w:pPr>
        <w:tabs>
          <w:tab w:val="num" w:pos="3600"/>
        </w:tabs>
        <w:ind w:left="3600" w:hanging="360"/>
      </w:pPr>
    </w:lvl>
    <w:lvl w:ilvl="5" w:tplc="87BCBC8C" w:tentative="1">
      <w:start w:val="1"/>
      <w:numFmt w:val="decimal"/>
      <w:lvlText w:val="%6"/>
      <w:lvlJc w:val="left"/>
      <w:pPr>
        <w:tabs>
          <w:tab w:val="num" w:pos="4320"/>
        </w:tabs>
        <w:ind w:left="4320" w:hanging="360"/>
      </w:pPr>
    </w:lvl>
    <w:lvl w:ilvl="6" w:tplc="EBBE7C60" w:tentative="1">
      <w:start w:val="1"/>
      <w:numFmt w:val="decimal"/>
      <w:lvlText w:val="%7"/>
      <w:lvlJc w:val="left"/>
      <w:pPr>
        <w:tabs>
          <w:tab w:val="num" w:pos="5040"/>
        </w:tabs>
        <w:ind w:left="5040" w:hanging="360"/>
      </w:pPr>
    </w:lvl>
    <w:lvl w:ilvl="7" w:tplc="F326B3E0" w:tentative="1">
      <w:start w:val="1"/>
      <w:numFmt w:val="decimal"/>
      <w:lvlText w:val="%8"/>
      <w:lvlJc w:val="left"/>
      <w:pPr>
        <w:tabs>
          <w:tab w:val="num" w:pos="5760"/>
        </w:tabs>
        <w:ind w:left="5760" w:hanging="360"/>
      </w:pPr>
    </w:lvl>
    <w:lvl w:ilvl="8" w:tplc="4658EF00" w:tentative="1">
      <w:start w:val="1"/>
      <w:numFmt w:val="decimal"/>
      <w:lvlText w:val="%9"/>
      <w:lvlJc w:val="left"/>
      <w:pPr>
        <w:tabs>
          <w:tab w:val="num" w:pos="6480"/>
        </w:tabs>
        <w:ind w:left="6480" w:hanging="360"/>
      </w:pPr>
    </w:lvl>
  </w:abstractNum>
  <w:abstractNum w:abstractNumId="21" w15:restartNumberingAfterBreak="0">
    <w:nsid w:val="66772569"/>
    <w:multiLevelType w:val="hybridMultilevel"/>
    <w:tmpl w:val="C8E2161C"/>
    <w:lvl w:ilvl="0" w:tplc="0608D938">
      <w:start w:val="1"/>
      <w:numFmt w:val="bullet"/>
      <w:lvlText w:val=""/>
      <w:lvlJc w:val="left"/>
      <w:pPr>
        <w:ind w:left="720" w:hanging="360"/>
      </w:pPr>
      <w:rPr>
        <w:rFonts w:ascii="Wingdings" w:hAnsi="Wingdings" w:hint="default"/>
      </w:rPr>
    </w:lvl>
    <w:lvl w:ilvl="1" w:tplc="B276057E" w:tentative="1">
      <w:start w:val="1"/>
      <w:numFmt w:val="bullet"/>
      <w:lvlText w:val="o"/>
      <w:lvlJc w:val="left"/>
      <w:pPr>
        <w:ind w:left="1440" w:hanging="360"/>
      </w:pPr>
      <w:rPr>
        <w:rFonts w:ascii="Courier New" w:hAnsi="Courier New" w:cs="Courier New" w:hint="default"/>
      </w:rPr>
    </w:lvl>
    <w:lvl w:ilvl="2" w:tplc="01BA9766" w:tentative="1">
      <w:start w:val="1"/>
      <w:numFmt w:val="bullet"/>
      <w:lvlText w:val=""/>
      <w:lvlJc w:val="left"/>
      <w:pPr>
        <w:ind w:left="2160" w:hanging="360"/>
      </w:pPr>
      <w:rPr>
        <w:rFonts w:ascii="Wingdings" w:hAnsi="Wingdings" w:hint="default"/>
      </w:rPr>
    </w:lvl>
    <w:lvl w:ilvl="3" w:tplc="CECC0B84" w:tentative="1">
      <w:start w:val="1"/>
      <w:numFmt w:val="bullet"/>
      <w:lvlText w:val=""/>
      <w:lvlJc w:val="left"/>
      <w:pPr>
        <w:ind w:left="2880" w:hanging="360"/>
      </w:pPr>
      <w:rPr>
        <w:rFonts w:ascii="Symbol" w:hAnsi="Symbol" w:hint="default"/>
      </w:rPr>
    </w:lvl>
    <w:lvl w:ilvl="4" w:tplc="158E516A" w:tentative="1">
      <w:start w:val="1"/>
      <w:numFmt w:val="bullet"/>
      <w:lvlText w:val="o"/>
      <w:lvlJc w:val="left"/>
      <w:pPr>
        <w:ind w:left="3600" w:hanging="360"/>
      </w:pPr>
      <w:rPr>
        <w:rFonts w:ascii="Courier New" w:hAnsi="Courier New" w:cs="Courier New" w:hint="default"/>
      </w:rPr>
    </w:lvl>
    <w:lvl w:ilvl="5" w:tplc="A268E55A" w:tentative="1">
      <w:start w:val="1"/>
      <w:numFmt w:val="bullet"/>
      <w:lvlText w:val=""/>
      <w:lvlJc w:val="left"/>
      <w:pPr>
        <w:ind w:left="4320" w:hanging="360"/>
      </w:pPr>
      <w:rPr>
        <w:rFonts w:ascii="Wingdings" w:hAnsi="Wingdings" w:hint="default"/>
      </w:rPr>
    </w:lvl>
    <w:lvl w:ilvl="6" w:tplc="5A0A8B8E" w:tentative="1">
      <w:start w:val="1"/>
      <w:numFmt w:val="bullet"/>
      <w:lvlText w:val=""/>
      <w:lvlJc w:val="left"/>
      <w:pPr>
        <w:ind w:left="5040" w:hanging="360"/>
      </w:pPr>
      <w:rPr>
        <w:rFonts w:ascii="Symbol" w:hAnsi="Symbol" w:hint="default"/>
      </w:rPr>
    </w:lvl>
    <w:lvl w:ilvl="7" w:tplc="48E63278" w:tentative="1">
      <w:start w:val="1"/>
      <w:numFmt w:val="bullet"/>
      <w:lvlText w:val="o"/>
      <w:lvlJc w:val="left"/>
      <w:pPr>
        <w:ind w:left="5760" w:hanging="360"/>
      </w:pPr>
      <w:rPr>
        <w:rFonts w:ascii="Courier New" w:hAnsi="Courier New" w:cs="Courier New" w:hint="default"/>
      </w:rPr>
    </w:lvl>
    <w:lvl w:ilvl="8" w:tplc="AD725A2C" w:tentative="1">
      <w:start w:val="1"/>
      <w:numFmt w:val="bullet"/>
      <w:lvlText w:val=""/>
      <w:lvlJc w:val="left"/>
      <w:pPr>
        <w:ind w:left="6480" w:hanging="360"/>
      </w:pPr>
      <w:rPr>
        <w:rFonts w:ascii="Wingdings" w:hAnsi="Wingdings" w:hint="default"/>
      </w:rPr>
    </w:lvl>
  </w:abstractNum>
  <w:abstractNum w:abstractNumId="22" w15:restartNumberingAfterBreak="0">
    <w:nsid w:val="72D17A0D"/>
    <w:multiLevelType w:val="hybridMultilevel"/>
    <w:tmpl w:val="0E7CF460"/>
    <w:lvl w:ilvl="0" w:tplc="852696F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E440E"/>
    <w:multiLevelType w:val="hybridMultilevel"/>
    <w:tmpl w:val="0F2671D4"/>
    <w:lvl w:ilvl="0" w:tplc="225EDC34">
      <w:start w:val="1"/>
      <w:numFmt w:val="bullet"/>
      <w:lvlText w:val=""/>
      <w:lvlJc w:val="left"/>
      <w:pPr>
        <w:ind w:left="720" w:hanging="360"/>
      </w:pPr>
      <w:rPr>
        <w:rFonts w:ascii="Symbol" w:hAnsi="Symbol" w:hint="default"/>
      </w:rPr>
    </w:lvl>
    <w:lvl w:ilvl="1" w:tplc="38744BA8" w:tentative="1">
      <w:start w:val="1"/>
      <w:numFmt w:val="bullet"/>
      <w:lvlText w:val="o"/>
      <w:lvlJc w:val="left"/>
      <w:pPr>
        <w:ind w:left="1440" w:hanging="360"/>
      </w:pPr>
      <w:rPr>
        <w:rFonts w:ascii="Courier New" w:hAnsi="Courier New" w:cs="Courier New" w:hint="default"/>
      </w:rPr>
    </w:lvl>
    <w:lvl w:ilvl="2" w:tplc="DEFCE298" w:tentative="1">
      <w:start w:val="1"/>
      <w:numFmt w:val="bullet"/>
      <w:lvlText w:val=""/>
      <w:lvlJc w:val="left"/>
      <w:pPr>
        <w:ind w:left="2160" w:hanging="360"/>
      </w:pPr>
      <w:rPr>
        <w:rFonts w:ascii="Wingdings" w:hAnsi="Wingdings" w:hint="default"/>
      </w:rPr>
    </w:lvl>
    <w:lvl w:ilvl="3" w:tplc="86E225E6" w:tentative="1">
      <w:start w:val="1"/>
      <w:numFmt w:val="bullet"/>
      <w:lvlText w:val=""/>
      <w:lvlJc w:val="left"/>
      <w:pPr>
        <w:ind w:left="2880" w:hanging="360"/>
      </w:pPr>
      <w:rPr>
        <w:rFonts w:ascii="Symbol" w:hAnsi="Symbol" w:hint="default"/>
      </w:rPr>
    </w:lvl>
    <w:lvl w:ilvl="4" w:tplc="6442B0E2" w:tentative="1">
      <w:start w:val="1"/>
      <w:numFmt w:val="bullet"/>
      <w:lvlText w:val="o"/>
      <w:lvlJc w:val="left"/>
      <w:pPr>
        <w:ind w:left="3600" w:hanging="360"/>
      </w:pPr>
      <w:rPr>
        <w:rFonts w:ascii="Courier New" w:hAnsi="Courier New" w:cs="Courier New" w:hint="default"/>
      </w:rPr>
    </w:lvl>
    <w:lvl w:ilvl="5" w:tplc="580899DC" w:tentative="1">
      <w:start w:val="1"/>
      <w:numFmt w:val="bullet"/>
      <w:lvlText w:val=""/>
      <w:lvlJc w:val="left"/>
      <w:pPr>
        <w:ind w:left="4320" w:hanging="360"/>
      </w:pPr>
      <w:rPr>
        <w:rFonts w:ascii="Wingdings" w:hAnsi="Wingdings" w:hint="default"/>
      </w:rPr>
    </w:lvl>
    <w:lvl w:ilvl="6" w:tplc="11FA01BA" w:tentative="1">
      <w:start w:val="1"/>
      <w:numFmt w:val="bullet"/>
      <w:lvlText w:val=""/>
      <w:lvlJc w:val="left"/>
      <w:pPr>
        <w:ind w:left="5040" w:hanging="360"/>
      </w:pPr>
      <w:rPr>
        <w:rFonts w:ascii="Symbol" w:hAnsi="Symbol" w:hint="default"/>
      </w:rPr>
    </w:lvl>
    <w:lvl w:ilvl="7" w:tplc="80C4567C" w:tentative="1">
      <w:start w:val="1"/>
      <w:numFmt w:val="bullet"/>
      <w:lvlText w:val="o"/>
      <w:lvlJc w:val="left"/>
      <w:pPr>
        <w:ind w:left="5760" w:hanging="360"/>
      </w:pPr>
      <w:rPr>
        <w:rFonts w:ascii="Courier New" w:hAnsi="Courier New" w:cs="Courier New" w:hint="default"/>
      </w:rPr>
    </w:lvl>
    <w:lvl w:ilvl="8" w:tplc="3556A20A" w:tentative="1">
      <w:start w:val="1"/>
      <w:numFmt w:val="bullet"/>
      <w:lvlText w:val=""/>
      <w:lvlJc w:val="left"/>
      <w:pPr>
        <w:ind w:left="6480" w:hanging="360"/>
      </w:pPr>
      <w:rPr>
        <w:rFonts w:ascii="Wingdings" w:hAnsi="Wingdings" w:hint="default"/>
      </w:rPr>
    </w:lvl>
  </w:abstractNum>
  <w:abstractNum w:abstractNumId="24" w15:restartNumberingAfterBreak="0">
    <w:nsid w:val="7B8A3481"/>
    <w:multiLevelType w:val="hybridMultilevel"/>
    <w:tmpl w:val="57B64F62"/>
    <w:lvl w:ilvl="0" w:tplc="6AFE0464">
      <w:start w:val="1"/>
      <w:numFmt w:val="bullet"/>
      <w:lvlText w:val=""/>
      <w:lvlJc w:val="left"/>
      <w:pPr>
        <w:ind w:left="720" w:hanging="360"/>
      </w:pPr>
      <w:rPr>
        <w:rFonts w:ascii="Symbol" w:hAnsi="Symbol" w:hint="default"/>
      </w:rPr>
    </w:lvl>
    <w:lvl w:ilvl="1" w:tplc="BEBCD92A" w:tentative="1">
      <w:start w:val="1"/>
      <w:numFmt w:val="bullet"/>
      <w:lvlText w:val="o"/>
      <w:lvlJc w:val="left"/>
      <w:pPr>
        <w:ind w:left="1440" w:hanging="360"/>
      </w:pPr>
      <w:rPr>
        <w:rFonts w:ascii="Courier New" w:hAnsi="Courier New" w:cs="Courier New" w:hint="default"/>
      </w:rPr>
    </w:lvl>
    <w:lvl w:ilvl="2" w:tplc="D3609634" w:tentative="1">
      <w:start w:val="1"/>
      <w:numFmt w:val="bullet"/>
      <w:lvlText w:val=""/>
      <w:lvlJc w:val="left"/>
      <w:pPr>
        <w:ind w:left="2160" w:hanging="360"/>
      </w:pPr>
      <w:rPr>
        <w:rFonts w:ascii="Wingdings" w:hAnsi="Wingdings" w:hint="default"/>
      </w:rPr>
    </w:lvl>
    <w:lvl w:ilvl="3" w:tplc="BC14EEF0" w:tentative="1">
      <w:start w:val="1"/>
      <w:numFmt w:val="bullet"/>
      <w:lvlText w:val=""/>
      <w:lvlJc w:val="left"/>
      <w:pPr>
        <w:ind w:left="2880" w:hanging="360"/>
      </w:pPr>
      <w:rPr>
        <w:rFonts w:ascii="Symbol" w:hAnsi="Symbol" w:hint="default"/>
      </w:rPr>
    </w:lvl>
    <w:lvl w:ilvl="4" w:tplc="008C3ED2" w:tentative="1">
      <w:start w:val="1"/>
      <w:numFmt w:val="bullet"/>
      <w:lvlText w:val="o"/>
      <w:lvlJc w:val="left"/>
      <w:pPr>
        <w:ind w:left="3600" w:hanging="360"/>
      </w:pPr>
      <w:rPr>
        <w:rFonts w:ascii="Courier New" w:hAnsi="Courier New" w:cs="Courier New" w:hint="default"/>
      </w:rPr>
    </w:lvl>
    <w:lvl w:ilvl="5" w:tplc="58726122" w:tentative="1">
      <w:start w:val="1"/>
      <w:numFmt w:val="bullet"/>
      <w:lvlText w:val=""/>
      <w:lvlJc w:val="left"/>
      <w:pPr>
        <w:ind w:left="4320" w:hanging="360"/>
      </w:pPr>
      <w:rPr>
        <w:rFonts w:ascii="Wingdings" w:hAnsi="Wingdings" w:hint="default"/>
      </w:rPr>
    </w:lvl>
    <w:lvl w:ilvl="6" w:tplc="BE08E04A" w:tentative="1">
      <w:start w:val="1"/>
      <w:numFmt w:val="bullet"/>
      <w:lvlText w:val=""/>
      <w:lvlJc w:val="left"/>
      <w:pPr>
        <w:ind w:left="5040" w:hanging="360"/>
      </w:pPr>
      <w:rPr>
        <w:rFonts w:ascii="Symbol" w:hAnsi="Symbol" w:hint="default"/>
      </w:rPr>
    </w:lvl>
    <w:lvl w:ilvl="7" w:tplc="3A96E896" w:tentative="1">
      <w:start w:val="1"/>
      <w:numFmt w:val="bullet"/>
      <w:lvlText w:val="o"/>
      <w:lvlJc w:val="left"/>
      <w:pPr>
        <w:ind w:left="5760" w:hanging="360"/>
      </w:pPr>
      <w:rPr>
        <w:rFonts w:ascii="Courier New" w:hAnsi="Courier New" w:cs="Courier New" w:hint="default"/>
      </w:rPr>
    </w:lvl>
    <w:lvl w:ilvl="8" w:tplc="7C703B40" w:tentative="1">
      <w:start w:val="1"/>
      <w:numFmt w:val="bullet"/>
      <w:lvlText w:val=""/>
      <w:lvlJc w:val="left"/>
      <w:pPr>
        <w:ind w:left="6480" w:hanging="360"/>
      </w:pPr>
      <w:rPr>
        <w:rFonts w:ascii="Wingdings" w:hAnsi="Wingdings" w:hint="default"/>
      </w:rPr>
    </w:lvl>
  </w:abstractNum>
  <w:abstractNum w:abstractNumId="25" w15:restartNumberingAfterBreak="0">
    <w:nsid w:val="7D4811F6"/>
    <w:multiLevelType w:val="hybridMultilevel"/>
    <w:tmpl w:val="1D28D1FE"/>
    <w:lvl w:ilvl="0" w:tplc="7E38A14E">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E2181"/>
    <w:multiLevelType w:val="hybridMultilevel"/>
    <w:tmpl w:val="44A25960"/>
    <w:lvl w:ilvl="0" w:tplc="1E8C3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8718B"/>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19"/>
  </w:num>
  <w:num w:numId="5">
    <w:abstractNumId w:val="8"/>
  </w:num>
  <w:num w:numId="6">
    <w:abstractNumId w:val="1"/>
  </w:num>
  <w:num w:numId="7">
    <w:abstractNumId w:val="1"/>
  </w:num>
  <w:num w:numId="8">
    <w:abstractNumId w:val="23"/>
  </w:num>
  <w:num w:numId="9">
    <w:abstractNumId w:val="21"/>
  </w:num>
  <w:num w:numId="10">
    <w:abstractNumId w:val="11"/>
  </w:num>
  <w:num w:numId="11">
    <w:abstractNumId w:val="24"/>
  </w:num>
  <w:num w:numId="12">
    <w:abstractNumId w:val="3"/>
  </w:num>
  <w:num w:numId="13">
    <w:abstractNumId w:val="6"/>
  </w:num>
  <w:num w:numId="14">
    <w:abstractNumId w:val="10"/>
  </w:num>
  <w:num w:numId="15">
    <w:abstractNumId w:val="15"/>
  </w:num>
  <w:num w:numId="16">
    <w:abstractNumId w:val="4"/>
  </w:num>
  <w:num w:numId="17">
    <w:abstractNumId w:val="22"/>
  </w:num>
  <w:num w:numId="18">
    <w:abstractNumId w:val="14"/>
  </w:num>
  <w:num w:numId="19">
    <w:abstractNumId w:val="9"/>
  </w:num>
  <w:num w:numId="20">
    <w:abstractNumId w:val="13"/>
  </w:num>
  <w:num w:numId="21">
    <w:abstractNumId w:val="27"/>
  </w:num>
  <w:num w:numId="22">
    <w:abstractNumId w:val="12"/>
  </w:num>
  <w:num w:numId="23">
    <w:abstractNumId w:val="20"/>
  </w:num>
  <w:num w:numId="24">
    <w:abstractNumId w:val="26"/>
  </w:num>
  <w:num w:numId="25">
    <w:abstractNumId w:val="18"/>
  </w:num>
  <w:num w:numId="26">
    <w:abstractNumId w:val="25"/>
  </w:num>
  <w:num w:numId="27">
    <w:abstractNumId w:val="7"/>
  </w:num>
  <w:num w:numId="28">
    <w:abstractNumId w:val="5"/>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s-PE"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537"/>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D54F1"/>
    <w:rsid w:val="00000190"/>
    <w:rsid w:val="00001FAE"/>
    <w:rsid w:val="00003E5E"/>
    <w:rsid w:val="0000474B"/>
    <w:rsid w:val="000049A4"/>
    <w:rsid w:val="00005660"/>
    <w:rsid w:val="000070CF"/>
    <w:rsid w:val="000071B2"/>
    <w:rsid w:val="00010911"/>
    <w:rsid w:val="00011D29"/>
    <w:rsid w:val="00013523"/>
    <w:rsid w:val="00014874"/>
    <w:rsid w:val="00016D61"/>
    <w:rsid w:val="0001712E"/>
    <w:rsid w:val="000212A9"/>
    <w:rsid w:val="00021B5E"/>
    <w:rsid w:val="00022DA0"/>
    <w:rsid w:val="0002410F"/>
    <w:rsid w:val="00024C39"/>
    <w:rsid w:val="00024DBA"/>
    <w:rsid w:val="00025D39"/>
    <w:rsid w:val="00030CC4"/>
    <w:rsid w:val="00030E82"/>
    <w:rsid w:val="00032A36"/>
    <w:rsid w:val="000343EF"/>
    <w:rsid w:val="0003556A"/>
    <w:rsid w:val="00035620"/>
    <w:rsid w:val="00036F7B"/>
    <w:rsid w:val="00040B21"/>
    <w:rsid w:val="000415B8"/>
    <w:rsid w:val="00044B50"/>
    <w:rsid w:val="000460E7"/>
    <w:rsid w:val="00046AB5"/>
    <w:rsid w:val="00050A02"/>
    <w:rsid w:val="00051AFD"/>
    <w:rsid w:val="00051B7C"/>
    <w:rsid w:val="00051EE3"/>
    <w:rsid w:val="00052AC0"/>
    <w:rsid w:val="000547DA"/>
    <w:rsid w:val="00055732"/>
    <w:rsid w:val="00056D69"/>
    <w:rsid w:val="00056F64"/>
    <w:rsid w:val="00061C88"/>
    <w:rsid w:val="00066D49"/>
    <w:rsid w:val="000702EA"/>
    <w:rsid w:val="00072031"/>
    <w:rsid w:val="00072D07"/>
    <w:rsid w:val="000732F1"/>
    <w:rsid w:val="0007389F"/>
    <w:rsid w:val="00074E36"/>
    <w:rsid w:val="00077B4D"/>
    <w:rsid w:val="000805F5"/>
    <w:rsid w:val="0008074E"/>
    <w:rsid w:val="0008125F"/>
    <w:rsid w:val="00081481"/>
    <w:rsid w:val="000816B3"/>
    <w:rsid w:val="0008258F"/>
    <w:rsid w:val="00082E63"/>
    <w:rsid w:val="00084C27"/>
    <w:rsid w:val="00086A19"/>
    <w:rsid w:val="00087F9E"/>
    <w:rsid w:val="00090320"/>
    <w:rsid w:val="0009154F"/>
    <w:rsid w:val="000922AB"/>
    <w:rsid w:val="00092790"/>
    <w:rsid w:val="000936B6"/>
    <w:rsid w:val="000945CF"/>
    <w:rsid w:val="00096277"/>
    <w:rsid w:val="00096C20"/>
    <w:rsid w:val="00096CF4"/>
    <w:rsid w:val="00096E23"/>
    <w:rsid w:val="00096F42"/>
    <w:rsid w:val="000A1065"/>
    <w:rsid w:val="000A13E3"/>
    <w:rsid w:val="000A13E9"/>
    <w:rsid w:val="000A1B81"/>
    <w:rsid w:val="000A1FB5"/>
    <w:rsid w:val="000A27EA"/>
    <w:rsid w:val="000A30B0"/>
    <w:rsid w:val="000A5A75"/>
    <w:rsid w:val="000A5D78"/>
    <w:rsid w:val="000A71A1"/>
    <w:rsid w:val="000A758E"/>
    <w:rsid w:val="000B0635"/>
    <w:rsid w:val="000B0802"/>
    <w:rsid w:val="000B1DA6"/>
    <w:rsid w:val="000B211C"/>
    <w:rsid w:val="000B44F8"/>
    <w:rsid w:val="000B5198"/>
    <w:rsid w:val="000B5D6D"/>
    <w:rsid w:val="000B6B39"/>
    <w:rsid w:val="000B6F11"/>
    <w:rsid w:val="000C12CA"/>
    <w:rsid w:val="000C1D4F"/>
    <w:rsid w:val="000C20EF"/>
    <w:rsid w:val="000C2550"/>
    <w:rsid w:val="000C2F0B"/>
    <w:rsid w:val="000C3819"/>
    <w:rsid w:val="000C48DA"/>
    <w:rsid w:val="000C73E3"/>
    <w:rsid w:val="000D1183"/>
    <w:rsid w:val="000D24C9"/>
    <w:rsid w:val="000D2B0F"/>
    <w:rsid w:val="000D3052"/>
    <w:rsid w:val="000D464F"/>
    <w:rsid w:val="000D4DCD"/>
    <w:rsid w:val="000D510D"/>
    <w:rsid w:val="000D58EF"/>
    <w:rsid w:val="000D7359"/>
    <w:rsid w:val="000D7D52"/>
    <w:rsid w:val="000E1784"/>
    <w:rsid w:val="000E1FFF"/>
    <w:rsid w:val="000E2BE9"/>
    <w:rsid w:val="000E3C92"/>
    <w:rsid w:val="000E450A"/>
    <w:rsid w:val="000E518B"/>
    <w:rsid w:val="000E5569"/>
    <w:rsid w:val="000E7AA7"/>
    <w:rsid w:val="000F017D"/>
    <w:rsid w:val="000F0E74"/>
    <w:rsid w:val="000F2DFF"/>
    <w:rsid w:val="000F39FD"/>
    <w:rsid w:val="000F3B0B"/>
    <w:rsid w:val="000F425F"/>
    <w:rsid w:val="000F4630"/>
    <w:rsid w:val="000F46A4"/>
    <w:rsid w:val="000F4F22"/>
    <w:rsid w:val="000F76B0"/>
    <w:rsid w:val="000F76E7"/>
    <w:rsid w:val="000F7DE5"/>
    <w:rsid w:val="0010119B"/>
    <w:rsid w:val="00101BEA"/>
    <w:rsid w:val="00102544"/>
    <w:rsid w:val="0010273B"/>
    <w:rsid w:val="00104655"/>
    <w:rsid w:val="001047A9"/>
    <w:rsid w:val="0010524E"/>
    <w:rsid w:val="00105DB1"/>
    <w:rsid w:val="00106678"/>
    <w:rsid w:val="001069DD"/>
    <w:rsid w:val="00107216"/>
    <w:rsid w:val="00111820"/>
    <w:rsid w:val="00112C51"/>
    <w:rsid w:val="00112F0F"/>
    <w:rsid w:val="0011457B"/>
    <w:rsid w:val="001153E9"/>
    <w:rsid w:val="00116725"/>
    <w:rsid w:val="00116EE2"/>
    <w:rsid w:val="00117452"/>
    <w:rsid w:val="00121D17"/>
    <w:rsid w:val="00122312"/>
    <w:rsid w:val="0012232B"/>
    <w:rsid w:val="00124925"/>
    <w:rsid w:val="00125AC0"/>
    <w:rsid w:val="001266A9"/>
    <w:rsid w:val="001270B8"/>
    <w:rsid w:val="00127462"/>
    <w:rsid w:val="00130171"/>
    <w:rsid w:val="00130799"/>
    <w:rsid w:val="00130989"/>
    <w:rsid w:val="001311F7"/>
    <w:rsid w:val="00132531"/>
    <w:rsid w:val="0013318F"/>
    <w:rsid w:val="001350B5"/>
    <w:rsid w:val="0013537C"/>
    <w:rsid w:val="00136ED6"/>
    <w:rsid w:val="00140326"/>
    <w:rsid w:val="001404BA"/>
    <w:rsid w:val="0014241A"/>
    <w:rsid w:val="00142714"/>
    <w:rsid w:val="001449B4"/>
    <w:rsid w:val="00145140"/>
    <w:rsid w:val="001461D7"/>
    <w:rsid w:val="00150BFA"/>
    <w:rsid w:val="00152124"/>
    <w:rsid w:val="00152131"/>
    <w:rsid w:val="00152414"/>
    <w:rsid w:val="00152F0E"/>
    <w:rsid w:val="001543D5"/>
    <w:rsid w:val="00154D03"/>
    <w:rsid w:val="00161C53"/>
    <w:rsid w:val="00163960"/>
    <w:rsid w:val="00165DF1"/>
    <w:rsid w:val="00165E62"/>
    <w:rsid w:val="00170445"/>
    <w:rsid w:val="00172919"/>
    <w:rsid w:val="00172FB8"/>
    <w:rsid w:val="0017367E"/>
    <w:rsid w:val="00173938"/>
    <w:rsid w:val="00173D45"/>
    <w:rsid w:val="00174187"/>
    <w:rsid w:val="00174F31"/>
    <w:rsid w:val="00175E0E"/>
    <w:rsid w:val="00175E33"/>
    <w:rsid w:val="00177A84"/>
    <w:rsid w:val="0018365B"/>
    <w:rsid w:val="00185250"/>
    <w:rsid w:val="001864BD"/>
    <w:rsid w:val="001872FB"/>
    <w:rsid w:val="00192C62"/>
    <w:rsid w:val="0019304D"/>
    <w:rsid w:val="00195988"/>
    <w:rsid w:val="001960F4"/>
    <w:rsid w:val="001A0ACF"/>
    <w:rsid w:val="001A1382"/>
    <w:rsid w:val="001A14F0"/>
    <w:rsid w:val="001A23BD"/>
    <w:rsid w:val="001A292C"/>
    <w:rsid w:val="001A2C7F"/>
    <w:rsid w:val="001A337A"/>
    <w:rsid w:val="001A7295"/>
    <w:rsid w:val="001A7E35"/>
    <w:rsid w:val="001B0FE5"/>
    <w:rsid w:val="001B3BF6"/>
    <w:rsid w:val="001B446C"/>
    <w:rsid w:val="001B6BDD"/>
    <w:rsid w:val="001B7B77"/>
    <w:rsid w:val="001B7D37"/>
    <w:rsid w:val="001B7FB2"/>
    <w:rsid w:val="001C158E"/>
    <w:rsid w:val="001C1D8D"/>
    <w:rsid w:val="001C1FE2"/>
    <w:rsid w:val="001C2188"/>
    <w:rsid w:val="001C43DB"/>
    <w:rsid w:val="001D1F53"/>
    <w:rsid w:val="001D25A7"/>
    <w:rsid w:val="001D74E7"/>
    <w:rsid w:val="001E0665"/>
    <w:rsid w:val="001E06B3"/>
    <w:rsid w:val="001E09C9"/>
    <w:rsid w:val="001E1169"/>
    <w:rsid w:val="001E2117"/>
    <w:rsid w:val="001E2D39"/>
    <w:rsid w:val="001E34EA"/>
    <w:rsid w:val="001E37EC"/>
    <w:rsid w:val="001E3E67"/>
    <w:rsid w:val="001E4C8B"/>
    <w:rsid w:val="001E5E4F"/>
    <w:rsid w:val="001E60C7"/>
    <w:rsid w:val="001E6387"/>
    <w:rsid w:val="001E66DD"/>
    <w:rsid w:val="001E7230"/>
    <w:rsid w:val="001E765B"/>
    <w:rsid w:val="001E7672"/>
    <w:rsid w:val="001F2ABA"/>
    <w:rsid w:val="001F3A5D"/>
    <w:rsid w:val="001F49FD"/>
    <w:rsid w:val="001F5E2F"/>
    <w:rsid w:val="001F7F3E"/>
    <w:rsid w:val="00200A04"/>
    <w:rsid w:val="00200B38"/>
    <w:rsid w:val="0020258D"/>
    <w:rsid w:val="00202EBD"/>
    <w:rsid w:val="0020350B"/>
    <w:rsid w:val="00211762"/>
    <w:rsid w:val="002120C7"/>
    <w:rsid w:val="0021385F"/>
    <w:rsid w:val="0021393B"/>
    <w:rsid w:val="00214A8E"/>
    <w:rsid w:val="00215AE6"/>
    <w:rsid w:val="0021716C"/>
    <w:rsid w:val="00217551"/>
    <w:rsid w:val="002178FC"/>
    <w:rsid w:val="00220601"/>
    <w:rsid w:val="0022092C"/>
    <w:rsid w:val="00220D57"/>
    <w:rsid w:val="002213E1"/>
    <w:rsid w:val="00221CF1"/>
    <w:rsid w:val="00221EE0"/>
    <w:rsid w:val="00223443"/>
    <w:rsid w:val="002237F6"/>
    <w:rsid w:val="00224CFB"/>
    <w:rsid w:val="00225CE1"/>
    <w:rsid w:val="002275D6"/>
    <w:rsid w:val="00234440"/>
    <w:rsid w:val="00234E8A"/>
    <w:rsid w:val="002377FE"/>
    <w:rsid w:val="00244770"/>
    <w:rsid w:val="002477ED"/>
    <w:rsid w:val="002508BF"/>
    <w:rsid w:val="0025108D"/>
    <w:rsid w:val="002520D2"/>
    <w:rsid w:val="002524E8"/>
    <w:rsid w:val="00253365"/>
    <w:rsid w:val="002536EA"/>
    <w:rsid w:val="00253992"/>
    <w:rsid w:val="002543DF"/>
    <w:rsid w:val="00260015"/>
    <w:rsid w:val="00260ABC"/>
    <w:rsid w:val="00261467"/>
    <w:rsid w:val="00264DE7"/>
    <w:rsid w:val="002664D8"/>
    <w:rsid w:val="002668BE"/>
    <w:rsid w:val="00267098"/>
    <w:rsid w:val="002675A5"/>
    <w:rsid w:val="00267B67"/>
    <w:rsid w:val="00267D24"/>
    <w:rsid w:val="0027040B"/>
    <w:rsid w:val="00270647"/>
    <w:rsid w:val="00270ECF"/>
    <w:rsid w:val="002715C8"/>
    <w:rsid w:val="00271FF1"/>
    <w:rsid w:val="00272B4A"/>
    <w:rsid w:val="00273AC9"/>
    <w:rsid w:val="00274134"/>
    <w:rsid w:val="00276056"/>
    <w:rsid w:val="002767FD"/>
    <w:rsid w:val="002777A1"/>
    <w:rsid w:val="0028048E"/>
    <w:rsid w:val="00280623"/>
    <w:rsid w:val="002808E4"/>
    <w:rsid w:val="002810F9"/>
    <w:rsid w:val="0028295C"/>
    <w:rsid w:val="00283EA4"/>
    <w:rsid w:val="002843A7"/>
    <w:rsid w:val="00284998"/>
    <w:rsid w:val="002849A3"/>
    <w:rsid w:val="00284F07"/>
    <w:rsid w:val="00286220"/>
    <w:rsid w:val="0028752F"/>
    <w:rsid w:val="002915BE"/>
    <w:rsid w:val="002933BC"/>
    <w:rsid w:val="0029369E"/>
    <w:rsid w:val="0029553D"/>
    <w:rsid w:val="002959EF"/>
    <w:rsid w:val="00297B03"/>
    <w:rsid w:val="00297CDE"/>
    <w:rsid w:val="002A1FC6"/>
    <w:rsid w:val="002A2644"/>
    <w:rsid w:val="002A2D14"/>
    <w:rsid w:val="002A4E3D"/>
    <w:rsid w:val="002A5057"/>
    <w:rsid w:val="002A70DB"/>
    <w:rsid w:val="002B0087"/>
    <w:rsid w:val="002B136B"/>
    <w:rsid w:val="002B294C"/>
    <w:rsid w:val="002B31A5"/>
    <w:rsid w:val="002B4834"/>
    <w:rsid w:val="002B6FD0"/>
    <w:rsid w:val="002C23EA"/>
    <w:rsid w:val="002C2BE0"/>
    <w:rsid w:val="002C2C6C"/>
    <w:rsid w:val="002C3959"/>
    <w:rsid w:val="002C3DCB"/>
    <w:rsid w:val="002C3F4A"/>
    <w:rsid w:val="002C4293"/>
    <w:rsid w:val="002C4D9E"/>
    <w:rsid w:val="002C5F9A"/>
    <w:rsid w:val="002C7AFE"/>
    <w:rsid w:val="002C7FB9"/>
    <w:rsid w:val="002D260E"/>
    <w:rsid w:val="002D3E88"/>
    <w:rsid w:val="002D46AD"/>
    <w:rsid w:val="002D76D2"/>
    <w:rsid w:val="002E0690"/>
    <w:rsid w:val="002E27DB"/>
    <w:rsid w:val="002E2EBE"/>
    <w:rsid w:val="002E3793"/>
    <w:rsid w:val="002E3EBF"/>
    <w:rsid w:val="002E60A8"/>
    <w:rsid w:val="002E6D93"/>
    <w:rsid w:val="002E7AD0"/>
    <w:rsid w:val="002F0BF5"/>
    <w:rsid w:val="002F2024"/>
    <w:rsid w:val="002F27BC"/>
    <w:rsid w:val="002F39D8"/>
    <w:rsid w:val="002F3CA9"/>
    <w:rsid w:val="002F6856"/>
    <w:rsid w:val="002F7518"/>
    <w:rsid w:val="00300CE9"/>
    <w:rsid w:val="00302218"/>
    <w:rsid w:val="0030224C"/>
    <w:rsid w:val="00303140"/>
    <w:rsid w:val="00303C26"/>
    <w:rsid w:val="00304148"/>
    <w:rsid w:val="003062DD"/>
    <w:rsid w:val="00306402"/>
    <w:rsid w:val="00306577"/>
    <w:rsid w:val="0030666E"/>
    <w:rsid w:val="00312958"/>
    <w:rsid w:val="00312A2A"/>
    <w:rsid w:val="00315397"/>
    <w:rsid w:val="00315FFC"/>
    <w:rsid w:val="003167F3"/>
    <w:rsid w:val="00316F59"/>
    <w:rsid w:val="0031714F"/>
    <w:rsid w:val="00317DB3"/>
    <w:rsid w:val="00317E84"/>
    <w:rsid w:val="00320D11"/>
    <w:rsid w:val="00324A6A"/>
    <w:rsid w:val="00324EC6"/>
    <w:rsid w:val="0032736F"/>
    <w:rsid w:val="00330D04"/>
    <w:rsid w:val="003312A8"/>
    <w:rsid w:val="00332101"/>
    <w:rsid w:val="00334D4F"/>
    <w:rsid w:val="00334DF6"/>
    <w:rsid w:val="00335191"/>
    <w:rsid w:val="00335198"/>
    <w:rsid w:val="00335A2F"/>
    <w:rsid w:val="00335C08"/>
    <w:rsid w:val="003362A3"/>
    <w:rsid w:val="003376AB"/>
    <w:rsid w:val="00340DA5"/>
    <w:rsid w:val="003433BF"/>
    <w:rsid w:val="00344758"/>
    <w:rsid w:val="003456F0"/>
    <w:rsid w:val="0034695B"/>
    <w:rsid w:val="003470E3"/>
    <w:rsid w:val="00347B11"/>
    <w:rsid w:val="00350FC0"/>
    <w:rsid w:val="003523B4"/>
    <w:rsid w:val="003524E5"/>
    <w:rsid w:val="003550B2"/>
    <w:rsid w:val="00355367"/>
    <w:rsid w:val="0035566B"/>
    <w:rsid w:val="003567FC"/>
    <w:rsid w:val="0035727F"/>
    <w:rsid w:val="00357DDF"/>
    <w:rsid w:val="00360EB7"/>
    <w:rsid w:val="00361BA1"/>
    <w:rsid w:val="00362B95"/>
    <w:rsid w:val="00363995"/>
    <w:rsid w:val="00364D24"/>
    <w:rsid w:val="00364F8C"/>
    <w:rsid w:val="0036672B"/>
    <w:rsid w:val="00366E8D"/>
    <w:rsid w:val="00367817"/>
    <w:rsid w:val="00370361"/>
    <w:rsid w:val="003704D8"/>
    <w:rsid w:val="00371CAD"/>
    <w:rsid w:val="00371F5A"/>
    <w:rsid w:val="0037306C"/>
    <w:rsid w:val="003755FA"/>
    <w:rsid w:val="00376683"/>
    <w:rsid w:val="00381F75"/>
    <w:rsid w:val="00383F74"/>
    <w:rsid w:val="003844B4"/>
    <w:rsid w:val="00385E25"/>
    <w:rsid w:val="0038638F"/>
    <w:rsid w:val="003905E8"/>
    <w:rsid w:val="003909D0"/>
    <w:rsid w:val="003915CD"/>
    <w:rsid w:val="00394A38"/>
    <w:rsid w:val="003956DA"/>
    <w:rsid w:val="00396FE6"/>
    <w:rsid w:val="003972F6"/>
    <w:rsid w:val="00397973"/>
    <w:rsid w:val="003A03E3"/>
    <w:rsid w:val="003A0BC6"/>
    <w:rsid w:val="003A15D5"/>
    <w:rsid w:val="003A2A69"/>
    <w:rsid w:val="003A35F4"/>
    <w:rsid w:val="003A62D7"/>
    <w:rsid w:val="003A63E4"/>
    <w:rsid w:val="003A6565"/>
    <w:rsid w:val="003A6BC3"/>
    <w:rsid w:val="003A720E"/>
    <w:rsid w:val="003A78A4"/>
    <w:rsid w:val="003B0346"/>
    <w:rsid w:val="003B0CE0"/>
    <w:rsid w:val="003B0F02"/>
    <w:rsid w:val="003B2090"/>
    <w:rsid w:val="003B2931"/>
    <w:rsid w:val="003B297D"/>
    <w:rsid w:val="003B5EDB"/>
    <w:rsid w:val="003B6254"/>
    <w:rsid w:val="003B73B8"/>
    <w:rsid w:val="003C012B"/>
    <w:rsid w:val="003C2855"/>
    <w:rsid w:val="003C2BA1"/>
    <w:rsid w:val="003C521B"/>
    <w:rsid w:val="003C5626"/>
    <w:rsid w:val="003C57D8"/>
    <w:rsid w:val="003C6EDE"/>
    <w:rsid w:val="003D15C2"/>
    <w:rsid w:val="003D1BA2"/>
    <w:rsid w:val="003D2B57"/>
    <w:rsid w:val="003D3FA3"/>
    <w:rsid w:val="003D3FD2"/>
    <w:rsid w:val="003D535B"/>
    <w:rsid w:val="003D6473"/>
    <w:rsid w:val="003D72AA"/>
    <w:rsid w:val="003E1028"/>
    <w:rsid w:val="003E142E"/>
    <w:rsid w:val="003E2810"/>
    <w:rsid w:val="003E5A60"/>
    <w:rsid w:val="003E5B2E"/>
    <w:rsid w:val="003E679A"/>
    <w:rsid w:val="003E7765"/>
    <w:rsid w:val="003E77E5"/>
    <w:rsid w:val="003E7D58"/>
    <w:rsid w:val="003F0BC8"/>
    <w:rsid w:val="003F0EB9"/>
    <w:rsid w:val="003F0ECE"/>
    <w:rsid w:val="003F1154"/>
    <w:rsid w:val="003F1655"/>
    <w:rsid w:val="003F2736"/>
    <w:rsid w:val="003F3038"/>
    <w:rsid w:val="003F4FF1"/>
    <w:rsid w:val="003F55F1"/>
    <w:rsid w:val="003F56E2"/>
    <w:rsid w:val="003F6342"/>
    <w:rsid w:val="003F7035"/>
    <w:rsid w:val="00400EB6"/>
    <w:rsid w:val="00401347"/>
    <w:rsid w:val="0040152E"/>
    <w:rsid w:val="00401A4D"/>
    <w:rsid w:val="00401F27"/>
    <w:rsid w:val="004025B2"/>
    <w:rsid w:val="00403188"/>
    <w:rsid w:val="004040EA"/>
    <w:rsid w:val="004066B0"/>
    <w:rsid w:val="00406CFB"/>
    <w:rsid w:val="004159B9"/>
    <w:rsid w:val="004201F1"/>
    <w:rsid w:val="004208CB"/>
    <w:rsid w:val="00420CAA"/>
    <w:rsid w:val="00421E10"/>
    <w:rsid w:val="00423369"/>
    <w:rsid w:val="00424C8E"/>
    <w:rsid w:val="00425319"/>
    <w:rsid w:val="0042575F"/>
    <w:rsid w:val="00426F5F"/>
    <w:rsid w:val="00427404"/>
    <w:rsid w:val="00431ED1"/>
    <w:rsid w:val="00432D80"/>
    <w:rsid w:val="004355E0"/>
    <w:rsid w:val="00436F5B"/>
    <w:rsid w:val="00437095"/>
    <w:rsid w:val="004379B0"/>
    <w:rsid w:val="00440402"/>
    <w:rsid w:val="00441827"/>
    <w:rsid w:val="00442374"/>
    <w:rsid w:val="0044297E"/>
    <w:rsid w:val="00444770"/>
    <w:rsid w:val="0044652E"/>
    <w:rsid w:val="004470EC"/>
    <w:rsid w:val="004510DB"/>
    <w:rsid w:val="00451840"/>
    <w:rsid w:val="00453735"/>
    <w:rsid w:val="004549A5"/>
    <w:rsid w:val="00455099"/>
    <w:rsid w:val="0045531C"/>
    <w:rsid w:val="00455329"/>
    <w:rsid w:val="004570E1"/>
    <w:rsid w:val="00457559"/>
    <w:rsid w:val="00460E7C"/>
    <w:rsid w:val="00461894"/>
    <w:rsid w:val="00463BF4"/>
    <w:rsid w:val="0046501A"/>
    <w:rsid w:val="0046784F"/>
    <w:rsid w:val="00467D25"/>
    <w:rsid w:val="00467DC3"/>
    <w:rsid w:val="00470035"/>
    <w:rsid w:val="0047075F"/>
    <w:rsid w:val="00471D0D"/>
    <w:rsid w:val="0047383C"/>
    <w:rsid w:val="00475149"/>
    <w:rsid w:val="0047561B"/>
    <w:rsid w:val="00477357"/>
    <w:rsid w:val="004775E8"/>
    <w:rsid w:val="004820EC"/>
    <w:rsid w:val="00482F07"/>
    <w:rsid w:val="00483406"/>
    <w:rsid w:val="00483977"/>
    <w:rsid w:val="00485B39"/>
    <w:rsid w:val="00490462"/>
    <w:rsid w:val="00491B88"/>
    <w:rsid w:val="00492024"/>
    <w:rsid w:val="004925B5"/>
    <w:rsid w:val="00492941"/>
    <w:rsid w:val="00494440"/>
    <w:rsid w:val="004976E9"/>
    <w:rsid w:val="004A1C18"/>
    <w:rsid w:val="004A3CDE"/>
    <w:rsid w:val="004A413F"/>
    <w:rsid w:val="004A438C"/>
    <w:rsid w:val="004A52CA"/>
    <w:rsid w:val="004A72DA"/>
    <w:rsid w:val="004A7A04"/>
    <w:rsid w:val="004B0CC9"/>
    <w:rsid w:val="004B22CA"/>
    <w:rsid w:val="004B39D1"/>
    <w:rsid w:val="004B4875"/>
    <w:rsid w:val="004B584D"/>
    <w:rsid w:val="004B5DE6"/>
    <w:rsid w:val="004C0DC7"/>
    <w:rsid w:val="004C1528"/>
    <w:rsid w:val="004C2B90"/>
    <w:rsid w:val="004C382C"/>
    <w:rsid w:val="004C4A3C"/>
    <w:rsid w:val="004C5A5F"/>
    <w:rsid w:val="004C662D"/>
    <w:rsid w:val="004C74FC"/>
    <w:rsid w:val="004C75AD"/>
    <w:rsid w:val="004C7EC5"/>
    <w:rsid w:val="004D1AB0"/>
    <w:rsid w:val="004D1BDC"/>
    <w:rsid w:val="004D1E2E"/>
    <w:rsid w:val="004D34E7"/>
    <w:rsid w:val="004D3752"/>
    <w:rsid w:val="004D3AFE"/>
    <w:rsid w:val="004D483E"/>
    <w:rsid w:val="004D5E4F"/>
    <w:rsid w:val="004D6738"/>
    <w:rsid w:val="004D6C9A"/>
    <w:rsid w:val="004D7676"/>
    <w:rsid w:val="004D77AC"/>
    <w:rsid w:val="004E1959"/>
    <w:rsid w:val="004E333C"/>
    <w:rsid w:val="004E36FD"/>
    <w:rsid w:val="004E3FD9"/>
    <w:rsid w:val="004E5D70"/>
    <w:rsid w:val="004E6D8F"/>
    <w:rsid w:val="004E74A6"/>
    <w:rsid w:val="004E7BB1"/>
    <w:rsid w:val="004F0043"/>
    <w:rsid w:val="004F0FAF"/>
    <w:rsid w:val="004F1C88"/>
    <w:rsid w:val="004F2139"/>
    <w:rsid w:val="004F2524"/>
    <w:rsid w:val="004F33CF"/>
    <w:rsid w:val="004F4099"/>
    <w:rsid w:val="004F47AC"/>
    <w:rsid w:val="004F6230"/>
    <w:rsid w:val="004F64B0"/>
    <w:rsid w:val="004F69F8"/>
    <w:rsid w:val="004F79BE"/>
    <w:rsid w:val="004F79C3"/>
    <w:rsid w:val="00501E9E"/>
    <w:rsid w:val="00503672"/>
    <w:rsid w:val="00503C34"/>
    <w:rsid w:val="005047AB"/>
    <w:rsid w:val="00504C1D"/>
    <w:rsid w:val="005061CB"/>
    <w:rsid w:val="00507908"/>
    <w:rsid w:val="00510ECF"/>
    <w:rsid w:val="005113B0"/>
    <w:rsid w:val="00511598"/>
    <w:rsid w:val="00512E7E"/>
    <w:rsid w:val="00517458"/>
    <w:rsid w:val="005215B4"/>
    <w:rsid w:val="00521EBC"/>
    <w:rsid w:val="00522929"/>
    <w:rsid w:val="00522D0A"/>
    <w:rsid w:val="0052366C"/>
    <w:rsid w:val="00525413"/>
    <w:rsid w:val="005257CB"/>
    <w:rsid w:val="0053085F"/>
    <w:rsid w:val="00534958"/>
    <w:rsid w:val="00534A16"/>
    <w:rsid w:val="00536948"/>
    <w:rsid w:val="005373F6"/>
    <w:rsid w:val="00537C8B"/>
    <w:rsid w:val="00544D5D"/>
    <w:rsid w:val="00546A1F"/>
    <w:rsid w:val="00552C6B"/>
    <w:rsid w:val="00553E6C"/>
    <w:rsid w:val="00554F0A"/>
    <w:rsid w:val="005570BD"/>
    <w:rsid w:val="00561871"/>
    <w:rsid w:val="00563303"/>
    <w:rsid w:val="005656C3"/>
    <w:rsid w:val="00566636"/>
    <w:rsid w:val="0056753F"/>
    <w:rsid w:val="00567EF8"/>
    <w:rsid w:val="0057067A"/>
    <w:rsid w:val="00571D93"/>
    <w:rsid w:val="00572866"/>
    <w:rsid w:val="00572C46"/>
    <w:rsid w:val="00573271"/>
    <w:rsid w:val="00574C30"/>
    <w:rsid w:val="00576F03"/>
    <w:rsid w:val="00577053"/>
    <w:rsid w:val="00577085"/>
    <w:rsid w:val="0058169B"/>
    <w:rsid w:val="005839B3"/>
    <w:rsid w:val="00585F6C"/>
    <w:rsid w:val="0059016C"/>
    <w:rsid w:val="00590262"/>
    <w:rsid w:val="00591178"/>
    <w:rsid w:val="00592498"/>
    <w:rsid w:val="005924F6"/>
    <w:rsid w:val="005945F9"/>
    <w:rsid w:val="00595C3A"/>
    <w:rsid w:val="00596F5A"/>
    <w:rsid w:val="00597D2F"/>
    <w:rsid w:val="00597DE1"/>
    <w:rsid w:val="005A0235"/>
    <w:rsid w:val="005A0F0B"/>
    <w:rsid w:val="005A1B01"/>
    <w:rsid w:val="005A295D"/>
    <w:rsid w:val="005A2BB5"/>
    <w:rsid w:val="005A4018"/>
    <w:rsid w:val="005A41D2"/>
    <w:rsid w:val="005A4B72"/>
    <w:rsid w:val="005A6554"/>
    <w:rsid w:val="005A6F81"/>
    <w:rsid w:val="005A7A38"/>
    <w:rsid w:val="005A7FAE"/>
    <w:rsid w:val="005B19CE"/>
    <w:rsid w:val="005B1BD6"/>
    <w:rsid w:val="005B2AB4"/>
    <w:rsid w:val="005B2E3A"/>
    <w:rsid w:val="005B4407"/>
    <w:rsid w:val="005B49E0"/>
    <w:rsid w:val="005B5471"/>
    <w:rsid w:val="005B5DBA"/>
    <w:rsid w:val="005B7851"/>
    <w:rsid w:val="005C0F82"/>
    <w:rsid w:val="005C2298"/>
    <w:rsid w:val="005C3618"/>
    <w:rsid w:val="005C37EB"/>
    <w:rsid w:val="005C3A24"/>
    <w:rsid w:val="005C3D6E"/>
    <w:rsid w:val="005C4182"/>
    <w:rsid w:val="005C5224"/>
    <w:rsid w:val="005C5776"/>
    <w:rsid w:val="005C5D35"/>
    <w:rsid w:val="005D133E"/>
    <w:rsid w:val="005D20B8"/>
    <w:rsid w:val="005D3135"/>
    <w:rsid w:val="005D3BBC"/>
    <w:rsid w:val="005D68AA"/>
    <w:rsid w:val="005E35FE"/>
    <w:rsid w:val="005E49C9"/>
    <w:rsid w:val="005E4CE2"/>
    <w:rsid w:val="005E4FB4"/>
    <w:rsid w:val="005E54FF"/>
    <w:rsid w:val="005E720B"/>
    <w:rsid w:val="005E7D55"/>
    <w:rsid w:val="005F05F3"/>
    <w:rsid w:val="005F0B7E"/>
    <w:rsid w:val="005F0EF8"/>
    <w:rsid w:val="005F1B93"/>
    <w:rsid w:val="005F1F21"/>
    <w:rsid w:val="005F22C7"/>
    <w:rsid w:val="005F2C7A"/>
    <w:rsid w:val="005F426F"/>
    <w:rsid w:val="005F55DE"/>
    <w:rsid w:val="00604203"/>
    <w:rsid w:val="00606490"/>
    <w:rsid w:val="00607802"/>
    <w:rsid w:val="00607ECB"/>
    <w:rsid w:val="006112C2"/>
    <w:rsid w:val="00612171"/>
    <w:rsid w:val="006121F0"/>
    <w:rsid w:val="006146BA"/>
    <w:rsid w:val="00615138"/>
    <w:rsid w:val="00615282"/>
    <w:rsid w:val="00615EF0"/>
    <w:rsid w:val="00616488"/>
    <w:rsid w:val="00620666"/>
    <w:rsid w:val="00620871"/>
    <w:rsid w:val="006208FF"/>
    <w:rsid w:val="00621BF1"/>
    <w:rsid w:val="00622FA2"/>
    <w:rsid w:val="00625428"/>
    <w:rsid w:val="0062586D"/>
    <w:rsid w:val="006265BD"/>
    <w:rsid w:val="006267D4"/>
    <w:rsid w:val="0063013B"/>
    <w:rsid w:val="00630709"/>
    <w:rsid w:val="00631A11"/>
    <w:rsid w:val="00634BFD"/>
    <w:rsid w:val="0063556A"/>
    <w:rsid w:val="00636020"/>
    <w:rsid w:val="006378C9"/>
    <w:rsid w:val="00637E54"/>
    <w:rsid w:val="00641F49"/>
    <w:rsid w:val="006425FA"/>
    <w:rsid w:val="00642767"/>
    <w:rsid w:val="00642847"/>
    <w:rsid w:val="00643F80"/>
    <w:rsid w:val="006456BB"/>
    <w:rsid w:val="006466A9"/>
    <w:rsid w:val="00646F76"/>
    <w:rsid w:val="00647314"/>
    <w:rsid w:val="00647990"/>
    <w:rsid w:val="00650998"/>
    <w:rsid w:val="00650E1B"/>
    <w:rsid w:val="0065146D"/>
    <w:rsid w:val="0065162B"/>
    <w:rsid w:val="006520ED"/>
    <w:rsid w:val="00654764"/>
    <w:rsid w:val="006551D3"/>
    <w:rsid w:val="00655656"/>
    <w:rsid w:val="00655663"/>
    <w:rsid w:val="0066051C"/>
    <w:rsid w:val="00661349"/>
    <w:rsid w:val="00667FD1"/>
    <w:rsid w:val="006702AD"/>
    <w:rsid w:val="00670AF4"/>
    <w:rsid w:val="00674298"/>
    <w:rsid w:val="00675E1B"/>
    <w:rsid w:val="00677DBA"/>
    <w:rsid w:val="00680292"/>
    <w:rsid w:val="00680F38"/>
    <w:rsid w:val="006815AE"/>
    <w:rsid w:val="00681890"/>
    <w:rsid w:val="006823F5"/>
    <w:rsid w:val="0068527B"/>
    <w:rsid w:val="006859F2"/>
    <w:rsid w:val="00686090"/>
    <w:rsid w:val="0068614F"/>
    <w:rsid w:val="00693E0B"/>
    <w:rsid w:val="006943AF"/>
    <w:rsid w:val="00695DEF"/>
    <w:rsid w:val="0069673A"/>
    <w:rsid w:val="0069783D"/>
    <w:rsid w:val="006A1437"/>
    <w:rsid w:val="006A5591"/>
    <w:rsid w:val="006A6E4C"/>
    <w:rsid w:val="006A761C"/>
    <w:rsid w:val="006B0445"/>
    <w:rsid w:val="006B047B"/>
    <w:rsid w:val="006B0796"/>
    <w:rsid w:val="006B3884"/>
    <w:rsid w:val="006B3DA2"/>
    <w:rsid w:val="006B45C7"/>
    <w:rsid w:val="006B4E3B"/>
    <w:rsid w:val="006B4E49"/>
    <w:rsid w:val="006B54C6"/>
    <w:rsid w:val="006B5D5B"/>
    <w:rsid w:val="006B6008"/>
    <w:rsid w:val="006B69CB"/>
    <w:rsid w:val="006B752A"/>
    <w:rsid w:val="006B754B"/>
    <w:rsid w:val="006B7E77"/>
    <w:rsid w:val="006C1123"/>
    <w:rsid w:val="006C28F2"/>
    <w:rsid w:val="006C3724"/>
    <w:rsid w:val="006C3C66"/>
    <w:rsid w:val="006C486B"/>
    <w:rsid w:val="006C4911"/>
    <w:rsid w:val="006C4DCE"/>
    <w:rsid w:val="006C5426"/>
    <w:rsid w:val="006C5CCB"/>
    <w:rsid w:val="006C68F9"/>
    <w:rsid w:val="006C7DBB"/>
    <w:rsid w:val="006D04A9"/>
    <w:rsid w:val="006D05B1"/>
    <w:rsid w:val="006D540B"/>
    <w:rsid w:val="006D6F2D"/>
    <w:rsid w:val="006E001D"/>
    <w:rsid w:val="006E406D"/>
    <w:rsid w:val="006E430D"/>
    <w:rsid w:val="006E4F2B"/>
    <w:rsid w:val="006E4F4B"/>
    <w:rsid w:val="006E5929"/>
    <w:rsid w:val="006E704F"/>
    <w:rsid w:val="006E7308"/>
    <w:rsid w:val="006F0439"/>
    <w:rsid w:val="006F1DE8"/>
    <w:rsid w:val="006F2A39"/>
    <w:rsid w:val="006F43D1"/>
    <w:rsid w:val="006F47AC"/>
    <w:rsid w:val="006F4B40"/>
    <w:rsid w:val="006F57B7"/>
    <w:rsid w:val="006F581B"/>
    <w:rsid w:val="006F64C2"/>
    <w:rsid w:val="00700D12"/>
    <w:rsid w:val="00702577"/>
    <w:rsid w:val="007041C6"/>
    <w:rsid w:val="00705031"/>
    <w:rsid w:val="007053E7"/>
    <w:rsid w:val="007055BB"/>
    <w:rsid w:val="00707A24"/>
    <w:rsid w:val="00707C69"/>
    <w:rsid w:val="00707D91"/>
    <w:rsid w:val="00707E12"/>
    <w:rsid w:val="0071005D"/>
    <w:rsid w:val="00713D61"/>
    <w:rsid w:val="007142AC"/>
    <w:rsid w:val="00716A6C"/>
    <w:rsid w:val="00716D9B"/>
    <w:rsid w:val="00717791"/>
    <w:rsid w:val="00717BED"/>
    <w:rsid w:val="0072248A"/>
    <w:rsid w:val="00722A90"/>
    <w:rsid w:val="00722BE8"/>
    <w:rsid w:val="0072348D"/>
    <w:rsid w:val="00723F6B"/>
    <w:rsid w:val="0072599F"/>
    <w:rsid w:val="00725DF0"/>
    <w:rsid w:val="0072711A"/>
    <w:rsid w:val="00727613"/>
    <w:rsid w:val="00727D4D"/>
    <w:rsid w:val="0073009E"/>
    <w:rsid w:val="00730513"/>
    <w:rsid w:val="00731D93"/>
    <w:rsid w:val="00731F26"/>
    <w:rsid w:val="00733DC3"/>
    <w:rsid w:val="00734507"/>
    <w:rsid w:val="007348C2"/>
    <w:rsid w:val="00741B93"/>
    <w:rsid w:val="007473C9"/>
    <w:rsid w:val="00750122"/>
    <w:rsid w:val="00750E64"/>
    <w:rsid w:val="007512E8"/>
    <w:rsid w:val="00751586"/>
    <w:rsid w:val="007518CC"/>
    <w:rsid w:val="007523BB"/>
    <w:rsid w:val="00752D6E"/>
    <w:rsid w:val="00753426"/>
    <w:rsid w:val="00753EED"/>
    <w:rsid w:val="007540FA"/>
    <w:rsid w:val="00754F3F"/>
    <w:rsid w:val="00755956"/>
    <w:rsid w:val="00756106"/>
    <w:rsid w:val="00756BDB"/>
    <w:rsid w:val="00757CC9"/>
    <w:rsid w:val="00760D13"/>
    <w:rsid w:val="00763DEF"/>
    <w:rsid w:val="0076442B"/>
    <w:rsid w:val="007645B0"/>
    <w:rsid w:val="00765312"/>
    <w:rsid w:val="00765837"/>
    <w:rsid w:val="00765A93"/>
    <w:rsid w:val="00765D59"/>
    <w:rsid w:val="00766802"/>
    <w:rsid w:val="00766DB6"/>
    <w:rsid w:val="00766DEF"/>
    <w:rsid w:val="00766E60"/>
    <w:rsid w:val="007703DE"/>
    <w:rsid w:val="007716DB"/>
    <w:rsid w:val="00771909"/>
    <w:rsid w:val="0077213A"/>
    <w:rsid w:val="00773207"/>
    <w:rsid w:val="00774303"/>
    <w:rsid w:val="007756CF"/>
    <w:rsid w:val="00775E95"/>
    <w:rsid w:val="00776900"/>
    <w:rsid w:val="007772DC"/>
    <w:rsid w:val="00777C46"/>
    <w:rsid w:val="0078075E"/>
    <w:rsid w:val="00780C31"/>
    <w:rsid w:val="007824BE"/>
    <w:rsid w:val="007825D8"/>
    <w:rsid w:val="00782B3D"/>
    <w:rsid w:val="00784AFC"/>
    <w:rsid w:val="00785E80"/>
    <w:rsid w:val="0078680A"/>
    <w:rsid w:val="0078690C"/>
    <w:rsid w:val="00787717"/>
    <w:rsid w:val="00790567"/>
    <w:rsid w:val="0079224E"/>
    <w:rsid w:val="00793C96"/>
    <w:rsid w:val="00795149"/>
    <w:rsid w:val="00795ADF"/>
    <w:rsid w:val="007A1E73"/>
    <w:rsid w:val="007A3839"/>
    <w:rsid w:val="007A3B0D"/>
    <w:rsid w:val="007A4A52"/>
    <w:rsid w:val="007A503D"/>
    <w:rsid w:val="007B240E"/>
    <w:rsid w:val="007B396A"/>
    <w:rsid w:val="007B76A3"/>
    <w:rsid w:val="007C1C1D"/>
    <w:rsid w:val="007C1F86"/>
    <w:rsid w:val="007C2C35"/>
    <w:rsid w:val="007C3758"/>
    <w:rsid w:val="007C4565"/>
    <w:rsid w:val="007C57A6"/>
    <w:rsid w:val="007C6491"/>
    <w:rsid w:val="007C709D"/>
    <w:rsid w:val="007C7FC9"/>
    <w:rsid w:val="007D0A1B"/>
    <w:rsid w:val="007D2520"/>
    <w:rsid w:val="007D4803"/>
    <w:rsid w:val="007D4FE0"/>
    <w:rsid w:val="007D5730"/>
    <w:rsid w:val="007D7486"/>
    <w:rsid w:val="007E04F3"/>
    <w:rsid w:val="007E14A4"/>
    <w:rsid w:val="007E208E"/>
    <w:rsid w:val="007E23A5"/>
    <w:rsid w:val="007E4131"/>
    <w:rsid w:val="007E59E3"/>
    <w:rsid w:val="007E60EB"/>
    <w:rsid w:val="007E68C1"/>
    <w:rsid w:val="007F0288"/>
    <w:rsid w:val="007F07A4"/>
    <w:rsid w:val="007F0E00"/>
    <w:rsid w:val="007F1CCF"/>
    <w:rsid w:val="007F1CE6"/>
    <w:rsid w:val="007F3359"/>
    <w:rsid w:val="007F355E"/>
    <w:rsid w:val="007F54EE"/>
    <w:rsid w:val="007F5A85"/>
    <w:rsid w:val="007F5D43"/>
    <w:rsid w:val="007F6168"/>
    <w:rsid w:val="007F6E36"/>
    <w:rsid w:val="007F7E2B"/>
    <w:rsid w:val="008018ED"/>
    <w:rsid w:val="008019B0"/>
    <w:rsid w:val="0080209E"/>
    <w:rsid w:val="00805D15"/>
    <w:rsid w:val="00805EDC"/>
    <w:rsid w:val="0080606D"/>
    <w:rsid w:val="00806637"/>
    <w:rsid w:val="00812326"/>
    <w:rsid w:val="008125C7"/>
    <w:rsid w:val="00812651"/>
    <w:rsid w:val="00814ECF"/>
    <w:rsid w:val="00815D47"/>
    <w:rsid w:val="00816A44"/>
    <w:rsid w:val="0081784F"/>
    <w:rsid w:val="00821DFD"/>
    <w:rsid w:val="00822129"/>
    <w:rsid w:val="00822CCB"/>
    <w:rsid w:val="008237F8"/>
    <w:rsid w:val="00824C5B"/>
    <w:rsid w:val="008250C3"/>
    <w:rsid w:val="00825327"/>
    <w:rsid w:val="008262B3"/>
    <w:rsid w:val="00826BD1"/>
    <w:rsid w:val="00826E8C"/>
    <w:rsid w:val="0082773F"/>
    <w:rsid w:val="00827D40"/>
    <w:rsid w:val="00827F8F"/>
    <w:rsid w:val="00830630"/>
    <w:rsid w:val="008309D1"/>
    <w:rsid w:val="00830F37"/>
    <w:rsid w:val="008311DC"/>
    <w:rsid w:val="00832B92"/>
    <w:rsid w:val="00833F3B"/>
    <w:rsid w:val="0083461B"/>
    <w:rsid w:val="00836138"/>
    <w:rsid w:val="00836853"/>
    <w:rsid w:val="00840AD3"/>
    <w:rsid w:val="00840D82"/>
    <w:rsid w:val="00842238"/>
    <w:rsid w:val="00842412"/>
    <w:rsid w:val="008434B4"/>
    <w:rsid w:val="00843D5F"/>
    <w:rsid w:val="008459CD"/>
    <w:rsid w:val="00846904"/>
    <w:rsid w:val="00846E40"/>
    <w:rsid w:val="00846FF5"/>
    <w:rsid w:val="00851B39"/>
    <w:rsid w:val="0085479F"/>
    <w:rsid w:val="00855854"/>
    <w:rsid w:val="00855E25"/>
    <w:rsid w:val="00861ECE"/>
    <w:rsid w:val="0086233A"/>
    <w:rsid w:val="00865C02"/>
    <w:rsid w:val="00866128"/>
    <w:rsid w:val="008662A4"/>
    <w:rsid w:val="008665BF"/>
    <w:rsid w:val="00866A76"/>
    <w:rsid w:val="008677A2"/>
    <w:rsid w:val="00867D66"/>
    <w:rsid w:val="008705A0"/>
    <w:rsid w:val="00871CB2"/>
    <w:rsid w:val="008740C5"/>
    <w:rsid w:val="00874555"/>
    <w:rsid w:val="008746CF"/>
    <w:rsid w:val="00875869"/>
    <w:rsid w:val="00875E90"/>
    <w:rsid w:val="008813BA"/>
    <w:rsid w:val="008825EB"/>
    <w:rsid w:val="00884A37"/>
    <w:rsid w:val="00885546"/>
    <w:rsid w:val="008860E2"/>
    <w:rsid w:val="008868C9"/>
    <w:rsid w:val="0088746D"/>
    <w:rsid w:val="008912B1"/>
    <w:rsid w:val="00891EEC"/>
    <w:rsid w:val="00892572"/>
    <w:rsid w:val="00892F40"/>
    <w:rsid w:val="00893D8D"/>
    <w:rsid w:val="0089446A"/>
    <w:rsid w:val="00897882"/>
    <w:rsid w:val="008A10F3"/>
    <w:rsid w:val="008A1A36"/>
    <w:rsid w:val="008A2B5B"/>
    <w:rsid w:val="008A38D9"/>
    <w:rsid w:val="008A5387"/>
    <w:rsid w:val="008A5DDF"/>
    <w:rsid w:val="008A5E3A"/>
    <w:rsid w:val="008A6B1A"/>
    <w:rsid w:val="008A72E2"/>
    <w:rsid w:val="008B13D6"/>
    <w:rsid w:val="008B244E"/>
    <w:rsid w:val="008B381A"/>
    <w:rsid w:val="008B5B5A"/>
    <w:rsid w:val="008C10EE"/>
    <w:rsid w:val="008C1A81"/>
    <w:rsid w:val="008C2878"/>
    <w:rsid w:val="008C317F"/>
    <w:rsid w:val="008C3DDC"/>
    <w:rsid w:val="008C4072"/>
    <w:rsid w:val="008C4D74"/>
    <w:rsid w:val="008C7172"/>
    <w:rsid w:val="008C7E63"/>
    <w:rsid w:val="008D015B"/>
    <w:rsid w:val="008D047B"/>
    <w:rsid w:val="008D489E"/>
    <w:rsid w:val="008D4DA4"/>
    <w:rsid w:val="008D5188"/>
    <w:rsid w:val="008D6087"/>
    <w:rsid w:val="008E1F5C"/>
    <w:rsid w:val="008E2C56"/>
    <w:rsid w:val="008E3044"/>
    <w:rsid w:val="008E30D7"/>
    <w:rsid w:val="008E4181"/>
    <w:rsid w:val="008E47CD"/>
    <w:rsid w:val="008E5253"/>
    <w:rsid w:val="008E6A9F"/>
    <w:rsid w:val="008E6B3D"/>
    <w:rsid w:val="008F1599"/>
    <w:rsid w:val="008F3067"/>
    <w:rsid w:val="008F32E3"/>
    <w:rsid w:val="008F42CC"/>
    <w:rsid w:val="008F457B"/>
    <w:rsid w:val="008F4DC1"/>
    <w:rsid w:val="008F6A7B"/>
    <w:rsid w:val="008F7787"/>
    <w:rsid w:val="00900803"/>
    <w:rsid w:val="00900B39"/>
    <w:rsid w:val="00900C19"/>
    <w:rsid w:val="00902CDC"/>
    <w:rsid w:val="00902EFE"/>
    <w:rsid w:val="00903237"/>
    <w:rsid w:val="00904867"/>
    <w:rsid w:val="0090698B"/>
    <w:rsid w:val="00907D83"/>
    <w:rsid w:val="00910CD3"/>
    <w:rsid w:val="009113BD"/>
    <w:rsid w:val="009122ED"/>
    <w:rsid w:val="00913DAD"/>
    <w:rsid w:val="009142FE"/>
    <w:rsid w:val="00914A50"/>
    <w:rsid w:val="0091599A"/>
    <w:rsid w:val="00916907"/>
    <w:rsid w:val="0091767E"/>
    <w:rsid w:val="009176FF"/>
    <w:rsid w:val="00917F42"/>
    <w:rsid w:val="009206E4"/>
    <w:rsid w:val="00920F38"/>
    <w:rsid w:val="00921271"/>
    <w:rsid w:val="009215D0"/>
    <w:rsid w:val="00921748"/>
    <w:rsid w:val="009221B3"/>
    <w:rsid w:val="0092488F"/>
    <w:rsid w:val="009254E9"/>
    <w:rsid w:val="00925507"/>
    <w:rsid w:val="00925DCE"/>
    <w:rsid w:val="00927AEA"/>
    <w:rsid w:val="009300FE"/>
    <w:rsid w:val="009310B0"/>
    <w:rsid w:val="009314BB"/>
    <w:rsid w:val="009334FA"/>
    <w:rsid w:val="009343AE"/>
    <w:rsid w:val="00935F0E"/>
    <w:rsid w:val="00936DCC"/>
    <w:rsid w:val="009401DA"/>
    <w:rsid w:val="00940B3E"/>
    <w:rsid w:val="00941D97"/>
    <w:rsid w:val="009452D8"/>
    <w:rsid w:val="00945BFD"/>
    <w:rsid w:val="00945C78"/>
    <w:rsid w:val="00946309"/>
    <w:rsid w:val="009465FF"/>
    <w:rsid w:val="00946A44"/>
    <w:rsid w:val="00946DCE"/>
    <w:rsid w:val="0094709A"/>
    <w:rsid w:val="00947D36"/>
    <w:rsid w:val="00950B3C"/>
    <w:rsid w:val="00950E42"/>
    <w:rsid w:val="00952FD5"/>
    <w:rsid w:val="00953140"/>
    <w:rsid w:val="0095436B"/>
    <w:rsid w:val="00955B63"/>
    <w:rsid w:val="00956AC4"/>
    <w:rsid w:val="009570CB"/>
    <w:rsid w:val="009576AB"/>
    <w:rsid w:val="00960AF6"/>
    <w:rsid w:val="00960CFE"/>
    <w:rsid w:val="00963F33"/>
    <w:rsid w:val="00964F30"/>
    <w:rsid w:val="00965970"/>
    <w:rsid w:val="00965F49"/>
    <w:rsid w:val="00966E9D"/>
    <w:rsid w:val="009677E4"/>
    <w:rsid w:val="0097035B"/>
    <w:rsid w:val="00971FFA"/>
    <w:rsid w:val="0097228E"/>
    <w:rsid w:val="0097404F"/>
    <w:rsid w:val="009747E4"/>
    <w:rsid w:val="009750E0"/>
    <w:rsid w:val="00977070"/>
    <w:rsid w:val="00977947"/>
    <w:rsid w:val="00977B81"/>
    <w:rsid w:val="009801DB"/>
    <w:rsid w:val="009805D5"/>
    <w:rsid w:val="009819AB"/>
    <w:rsid w:val="00982F79"/>
    <w:rsid w:val="009847F9"/>
    <w:rsid w:val="00987B04"/>
    <w:rsid w:val="00990DF1"/>
    <w:rsid w:val="00990F30"/>
    <w:rsid w:val="009924A9"/>
    <w:rsid w:val="00993561"/>
    <w:rsid w:val="00993BC3"/>
    <w:rsid w:val="00994681"/>
    <w:rsid w:val="00994877"/>
    <w:rsid w:val="00994F79"/>
    <w:rsid w:val="00996819"/>
    <w:rsid w:val="009A3B52"/>
    <w:rsid w:val="009A4E6B"/>
    <w:rsid w:val="009A5AB1"/>
    <w:rsid w:val="009A66F6"/>
    <w:rsid w:val="009B006B"/>
    <w:rsid w:val="009B1578"/>
    <w:rsid w:val="009B2C42"/>
    <w:rsid w:val="009B4CD8"/>
    <w:rsid w:val="009B4E46"/>
    <w:rsid w:val="009B540C"/>
    <w:rsid w:val="009B6CA5"/>
    <w:rsid w:val="009B70A5"/>
    <w:rsid w:val="009C0306"/>
    <w:rsid w:val="009C0DCE"/>
    <w:rsid w:val="009C1B13"/>
    <w:rsid w:val="009C2635"/>
    <w:rsid w:val="009C4244"/>
    <w:rsid w:val="009C4ED1"/>
    <w:rsid w:val="009C5507"/>
    <w:rsid w:val="009C62D0"/>
    <w:rsid w:val="009C6EC1"/>
    <w:rsid w:val="009D1A66"/>
    <w:rsid w:val="009D2447"/>
    <w:rsid w:val="009D2B85"/>
    <w:rsid w:val="009D2CC6"/>
    <w:rsid w:val="009D2D0D"/>
    <w:rsid w:val="009D40CE"/>
    <w:rsid w:val="009D4377"/>
    <w:rsid w:val="009D43F2"/>
    <w:rsid w:val="009D5FD1"/>
    <w:rsid w:val="009D6025"/>
    <w:rsid w:val="009D6171"/>
    <w:rsid w:val="009D73D1"/>
    <w:rsid w:val="009D7C8A"/>
    <w:rsid w:val="009E0050"/>
    <w:rsid w:val="009E0B10"/>
    <w:rsid w:val="009E16E2"/>
    <w:rsid w:val="009E3357"/>
    <w:rsid w:val="009E3A4A"/>
    <w:rsid w:val="009E3A64"/>
    <w:rsid w:val="009E4002"/>
    <w:rsid w:val="009E46F3"/>
    <w:rsid w:val="009E5E1D"/>
    <w:rsid w:val="009F0148"/>
    <w:rsid w:val="009F0213"/>
    <w:rsid w:val="009F2C17"/>
    <w:rsid w:val="009F370E"/>
    <w:rsid w:val="009F42F2"/>
    <w:rsid w:val="009F484C"/>
    <w:rsid w:val="009F5B67"/>
    <w:rsid w:val="009F707C"/>
    <w:rsid w:val="00A002B5"/>
    <w:rsid w:val="00A007DD"/>
    <w:rsid w:val="00A03D29"/>
    <w:rsid w:val="00A05B7E"/>
    <w:rsid w:val="00A06604"/>
    <w:rsid w:val="00A06B7A"/>
    <w:rsid w:val="00A124BD"/>
    <w:rsid w:val="00A14449"/>
    <w:rsid w:val="00A15078"/>
    <w:rsid w:val="00A150DF"/>
    <w:rsid w:val="00A15D0D"/>
    <w:rsid w:val="00A15E74"/>
    <w:rsid w:val="00A166AE"/>
    <w:rsid w:val="00A16852"/>
    <w:rsid w:val="00A17AE0"/>
    <w:rsid w:val="00A20409"/>
    <w:rsid w:val="00A2397E"/>
    <w:rsid w:val="00A2534A"/>
    <w:rsid w:val="00A256B9"/>
    <w:rsid w:val="00A26DCC"/>
    <w:rsid w:val="00A26E58"/>
    <w:rsid w:val="00A272A0"/>
    <w:rsid w:val="00A31AA3"/>
    <w:rsid w:val="00A31F2A"/>
    <w:rsid w:val="00A33988"/>
    <w:rsid w:val="00A33F99"/>
    <w:rsid w:val="00A345E2"/>
    <w:rsid w:val="00A35620"/>
    <w:rsid w:val="00A365D3"/>
    <w:rsid w:val="00A417B8"/>
    <w:rsid w:val="00A420C3"/>
    <w:rsid w:val="00A42663"/>
    <w:rsid w:val="00A45117"/>
    <w:rsid w:val="00A45A80"/>
    <w:rsid w:val="00A46E52"/>
    <w:rsid w:val="00A47130"/>
    <w:rsid w:val="00A50BFF"/>
    <w:rsid w:val="00A51197"/>
    <w:rsid w:val="00A53868"/>
    <w:rsid w:val="00A538CD"/>
    <w:rsid w:val="00A53AFD"/>
    <w:rsid w:val="00A54938"/>
    <w:rsid w:val="00A55334"/>
    <w:rsid w:val="00A56D07"/>
    <w:rsid w:val="00A56D4D"/>
    <w:rsid w:val="00A57279"/>
    <w:rsid w:val="00A57933"/>
    <w:rsid w:val="00A57C8F"/>
    <w:rsid w:val="00A57EFC"/>
    <w:rsid w:val="00A609F6"/>
    <w:rsid w:val="00A613C0"/>
    <w:rsid w:val="00A62000"/>
    <w:rsid w:val="00A620FD"/>
    <w:rsid w:val="00A63E2A"/>
    <w:rsid w:val="00A64CA9"/>
    <w:rsid w:val="00A64D72"/>
    <w:rsid w:val="00A73E99"/>
    <w:rsid w:val="00A741EE"/>
    <w:rsid w:val="00A7734D"/>
    <w:rsid w:val="00A773E8"/>
    <w:rsid w:val="00A77700"/>
    <w:rsid w:val="00A777D6"/>
    <w:rsid w:val="00A81949"/>
    <w:rsid w:val="00A84818"/>
    <w:rsid w:val="00A85D52"/>
    <w:rsid w:val="00A90BAE"/>
    <w:rsid w:val="00A91485"/>
    <w:rsid w:val="00A91954"/>
    <w:rsid w:val="00A91ABC"/>
    <w:rsid w:val="00A91DB4"/>
    <w:rsid w:val="00A952AE"/>
    <w:rsid w:val="00A96B77"/>
    <w:rsid w:val="00A97BF0"/>
    <w:rsid w:val="00AA2323"/>
    <w:rsid w:val="00AA2703"/>
    <w:rsid w:val="00AA28A9"/>
    <w:rsid w:val="00AA2B87"/>
    <w:rsid w:val="00AA4268"/>
    <w:rsid w:val="00AA61EB"/>
    <w:rsid w:val="00AA68DF"/>
    <w:rsid w:val="00AA6DA9"/>
    <w:rsid w:val="00AA7633"/>
    <w:rsid w:val="00AA77AD"/>
    <w:rsid w:val="00AB0479"/>
    <w:rsid w:val="00AB2632"/>
    <w:rsid w:val="00AB369E"/>
    <w:rsid w:val="00AB3894"/>
    <w:rsid w:val="00AB415A"/>
    <w:rsid w:val="00AB432B"/>
    <w:rsid w:val="00AB459A"/>
    <w:rsid w:val="00AB45B1"/>
    <w:rsid w:val="00AB5EE7"/>
    <w:rsid w:val="00AB6B89"/>
    <w:rsid w:val="00AC03F3"/>
    <w:rsid w:val="00AC04D3"/>
    <w:rsid w:val="00AC1BA8"/>
    <w:rsid w:val="00AC23C7"/>
    <w:rsid w:val="00AC4B86"/>
    <w:rsid w:val="00AC6DFC"/>
    <w:rsid w:val="00AC7A0F"/>
    <w:rsid w:val="00AD2F6E"/>
    <w:rsid w:val="00AD3275"/>
    <w:rsid w:val="00AD36FF"/>
    <w:rsid w:val="00AD49B3"/>
    <w:rsid w:val="00AE00AE"/>
    <w:rsid w:val="00AE00D8"/>
    <w:rsid w:val="00AE0FC1"/>
    <w:rsid w:val="00AE1A0C"/>
    <w:rsid w:val="00AE4E28"/>
    <w:rsid w:val="00AE6F12"/>
    <w:rsid w:val="00AE77B4"/>
    <w:rsid w:val="00AE7DF7"/>
    <w:rsid w:val="00AF01EB"/>
    <w:rsid w:val="00AF0545"/>
    <w:rsid w:val="00AF1CFA"/>
    <w:rsid w:val="00AF26EE"/>
    <w:rsid w:val="00AF4765"/>
    <w:rsid w:val="00AF4768"/>
    <w:rsid w:val="00AF47D3"/>
    <w:rsid w:val="00AF4B73"/>
    <w:rsid w:val="00AF5A35"/>
    <w:rsid w:val="00AF5C95"/>
    <w:rsid w:val="00AF6AAC"/>
    <w:rsid w:val="00B008E0"/>
    <w:rsid w:val="00B01059"/>
    <w:rsid w:val="00B01B5C"/>
    <w:rsid w:val="00B01E14"/>
    <w:rsid w:val="00B02B07"/>
    <w:rsid w:val="00B030C0"/>
    <w:rsid w:val="00B0341C"/>
    <w:rsid w:val="00B03520"/>
    <w:rsid w:val="00B0414F"/>
    <w:rsid w:val="00B05874"/>
    <w:rsid w:val="00B1183E"/>
    <w:rsid w:val="00B12E05"/>
    <w:rsid w:val="00B12F80"/>
    <w:rsid w:val="00B1366B"/>
    <w:rsid w:val="00B13A0C"/>
    <w:rsid w:val="00B14723"/>
    <w:rsid w:val="00B15CAF"/>
    <w:rsid w:val="00B1751C"/>
    <w:rsid w:val="00B20CD3"/>
    <w:rsid w:val="00B21AA1"/>
    <w:rsid w:val="00B21BB9"/>
    <w:rsid w:val="00B220D9"/>
    <w:rsid w:val="00B230DC"/>
    <w:rsid w:val="00B239F8"/>
    <w:rsid w:val="00B23A16"/>
    <w:rsid w:val="00B244EC"/>
    <w:rsid w:val="00B24AEE"/>
    <w:rsid w:val="00B25828"/>
    <w:rsid w:val="00B26FEA"/>
    <w:rsid w:val="00B273D6"/>
    <w:rsid w:val="00B27AE5"/>
    <w:rsid w:val="00B30555"/>
    <w:rsid w:val="00B31DED"/>
    <w:rsid w:val="00B346FF"/>
    <w:rsid w:val="00B35C03"/>
    <w:rsid w:val="00B41196"/>
    <w:rsid w:val="00B43AE9"/>
    <w:rsid w:val="00B44750"/>
    <w:rsid w:val="00B462F0"/>
    <w:rsid w:val="00B46C26"/>
    <w:rsid w:val="00B46DAC"/>
    <w:rsid w:val="00B50E96"/>
    <w:rsid w:val="00B51F5A"/>
    <w:rsid w:val="00B525A6"/>
    <w:rsid w:val="00B52D42"/>
    <w:rsid w:val="00B53E4A"/>
    <w:rsid w:val="00B54090"/>
    <w:rsid w:val="00B54542"/>
    <w:rsid w:val="00B54FD2"/>
    <w:rsid w:val="00B55235"/>
    <w:rsid w:val="00B57950"/>
    <w:rsid w:val="00B57DD6"/>
    <w:rsid w:val="00B60916"/>
    <w:rsid w:val="00B610AA"/>
    <w:rsid w:val="00B610E7"/>
    <w:rsid w:val="00B627C3"/>
    <w:rsid w:val="00B63C84"/>
    <w:rsid w:val="00B66CB2"/>
    <w:rsid w:val="00B67914"/>
    <w:rsid w:val="00B67D91"/>
    <w:rsid w:val="00B70D25"/>
    <w:rsid w:val="00B72C8B"/>
    <w:rsid w:val="00B73F5A"/>
    <w:rsid w:val="00B7464D"/>
    <w:rsid w:val="00B7531A"/>
    <w:rsid w:val="00B76FEF"/>
    <w:rsid w:val="00B80453"/>
    <w:rsid w:val="00B81AEF"/>
    <w:rsid w:val="00B87931"/>
    <w:rsid w:val="00B91156"/>
    <w:rsid w:val="00B928FC"/>
    <w:rsid w:val="00B92E45"/>
    <w:rsid w:val="00B95133"/>
    <w:rsid w:val="00B971D9"/>
    <w:rsid w:val="00B977DB"/>
    <w:rsid w:val="00BA0595"/>
    <w:rsid w:val="00BA2023"/>
    <w:rsid w:val="00BA3059"/>
    <w:rsid w:val="00BA384D"/>
    <w:rsid w:val="00BA3E98"/>
    <w:rsid w:val="00BA5CD6"/>
    <w:rsid w:val="00BA6C76"/>
    <w:rsid w:val="00BB29B3"/>
    <w:rsid w:val="00BB3B7E"/>
    <w:rsid w:val="00BB7166"/>
    <w:rsid w:val="00BB7711"/>
    <w:rsid w:val="00BC1439"/>
    <w:rsid w:val="00BC2FBB"/>
    <w:rsid w:val="00BC425B"/>
    <w:rsid w:val="00BC5752"/>
    <w:rsid w:val="00BC5AB8"/>
    <w:rsid w:val="00BC62F0"/>
    <w:rsid w:val="00BC68A6"/>
    <w:rsid w:val="00BC6A1C"/>
    <w:rsid w:val="00BD09B6"/>
    <w:rsid w:val="00BD1C6A"/>
    <w:rsid w:val="00BD2138"/>
    <w:rsid w:val="00BD4566"/>
    <w:rsid w:val="00BD4D1B"/>
    <w:rsid w:val="00BD53A5"/>
    <w:rsid w:val="00BD7A7F"/>
    <w:rsid w:val="00BE1306"/>
    <w:rsid w:val="00BE2882"/>
    <w:rsid w:val="00BE2B5C"/>
    <w:rsid w:val="00BE4E47"/>
    <w:rsid w:val="00BE50C4"/>
    <w:rsid w:val="00BE5168"/>
    <w:rsid w:val="00BE5963"/>
    <w:rsid w:val="00BE5B2A"/>
    <w:rsid w:val="00BE5BB2"/>
    <w:rsid w:val="00BF1B3F"/>
    <w:rsid w:val="00BF24FF"/>
    <w:rsid w:val="00BF311A"/>
    <w:rsid w:val="00BF3C3A"/>
    <w:rsid w:val="00BF3F70"/>
    <w:rsid w:val="00BF4993"/>
    <w:rsid w:val="00BF5786"/>
    <w:rsid w:val="00BF7A8F"/>
    <w:rsid w:val="00C00C88"/>
    <w:rsid w:val="00C01A66"/>
    <w:rsid w:val="00C02485"/>
    <w:rsid w:val="00C03663"/>
    <w:rsid w:val="00C04AD7"/>
    <w:rsid w:val="00C061E2"/>
    <w:rsid w:val="00C064C3"/>
    <w:rsid w:val="00C11144"/>
    <w:rsid w:val="00C123E1"/>
    <w:rsid w:val="00C12675"/>
    <w:rsid w:val="00C14216"/>
    <w:rsid w:val="00C14A6E"/>
    <w:rsid w:val="00C14C28"/>
    <w:rsid w:val="00C17CCC"/>
    <w:rsid w:val="00C20AD8"/>
    <w:rsid w:val="00C21071"/>
    <w:rsid w:val="00C214B7"/>
    <w:rsid w:val="00C21F3C"/>
    <w:rsid w:val="00C2377F"/>
    <w:rsid w:val="00C23AD7"/>
    <w:rsid w:val="00C23BB6"/>
    <w:rsid w:val="00C23C75"/>
    <w:rsid w:val="00C23F02"/>
    <w:rsid w:val="00C24A7B"/>
    <w:rsid w:val="00C25543"/>
    <w:rsid w:val="00C3121E"/>
    <w:rsid w:val="00C32222"/>
    <w:rsid w:val="00C33A61"/>
    <w:rsid w:val="00C33D13"/>
    <w:rsid w:val="00C34337"/>
    <w:rsid w:val="00C365F0"/>
    <w:rsid w:val="00C36674"/>
    <w:rsid w:val="00C37E83"/>
    <w:rsid w:val="00C41E0C"/>
    <w:rsid w:val="00C4318D"/>
    <w:rsid w:val="00C4425C"/>
    <w:rsid w:val="00C44DC5"/>
    <w:rsid w:val="00C474B5"/>
    <w:rsid w:val="00C505EE"/>
    <w:rsid w:val="00C51A2B"/>
    <w:rsid w:val="00C51F49"/>
    <w:rsid w:val="00C523DB"/>
    <w:rsid w:val="00C540EF"/>
    <w:rsid w:val="00C57245"/>
    <w:rsid w:val="00C576AB"/>
    <w:rsid w:val="00C57CB2"/>
    <w:rsid w:val="00C57D2E"/>
    <w:rsid w:val="00C60EFB"/>
    <w:rsid w:val="00C61D48"/>
    <w:rsid w:val="00C62B36"/>
    <w:rsid w:val="00C63369"/>
    <w:rsid w:val="00C63E5A"/>
    <w:rsid w:val="00C64DC6"/>
    <w:rsid w:val="00C654FE"/>
    <w:rsid w:val="00C67143"/>
    <w:rsid w:val="00C6794B"/>
    <w:rsid w:val="00C67CF9"/>
    <w:rsid w:val="00C7192E"/>
    <w:rsid w:val="00C71CC1"/>
    <w:rsid w:val="00C73242"/>
    <w:rsid w:val="00C73662"/>
    <w:rsid w:val="00C737B7"/>
    <w:rsid w:val="00C73A6F"/>
    <w:rsid w:val="00C74BB4"/>
    <w:rsid w:val="00C755C2"/>
    <w:rsid w:val="00C761E9"/>
    <w:rsid w:val="00C76B65"/>
    <w:rsid w:val="00C76F3B"/>
    <w:rsid w:val="00C813F7"/>
    <w:rsid w:val="00C82923"/>
    <w:rsid w:val="00C82EC7"/>
    <w:rsid w:val="00C832F3"/>
    <w:rsid w:val="00C83820"/>
    <w:rsid w:val="00C854E1"/>
    <w:rsid w:val="00C85E99"/>
    <w:rsid w:val="00C86AED"/>
    <w:rsid w:val="00C875E7"/>
    <w:rsid w:val="00C87D66"/>
    <w:rsid w:val="00C87E38"/>
    <w:rsid w:val="00C90D95"/>
    <w:rsid w:val="00C91E4F"/>
    <w:rsid w:val="00C938EA"/>
    <w:rsid w:val="00C940BE"/>
    <w:rsid w:val="00C9480D"/>
    <w:rsid w:val="00C949AC"/>
    <w:rsid w:val="00C94C15"/>
    <w:rsid w:val="00CA1FD2"/>
    <w:rsid w:val="00CA2027"/>
    <w:rsid w:val="00CA2244"/>
    <w:rsid w:val="00CA3369"/>
    <w:rsid w:val="00CA455C"/>
    <w:rsid w:val="00CA7BB5"/>
    <w:rsid w:val="00CB3073"/>
    <w:rsid w:val="00CB3584"/>
    <w:rsid w:val="00CB676F"/>
    <w:rsid w:val="00CB6F91"/>
    <w:rsid w:val="00CC11EB"/>
    <w:rsid w:val="00CC5168"/>
    <w:rsid w:val="00CC58EE"/>
    <w:rsid w:val="00CC6422"/>
    <w:rsid w:val="00CC6CCC"/>
    <w:rsid w:val="00CD0A8B"/>
    <w:rsid w:val="00CD0CE2"/>
    <w:rsid w:val="00CD1628"/>
    <w:rsid w:val="00CD2C32"/>
    <w:rsid w:val="00CD2CB8"/>
    <w:rsid w:val="00CD2D3F"/>
    <w:rsid w:val="00CD30D6"/>
    <w:rsid w:val="00CD4E09"/>
    <w:rsid w:val="00CD5D04"/>
    <w:rsid w:val="00CD5FE6"/>
    <w:rsid w:val="00CD78E3"/>
    <w:rsid w:val="00CD798D"/>
    <w:rsid w:val="00CE08FE"/>
    <w:rsid w:val="00CE44DD"/>
    <w:rsid w:val="00CE5A60"/>
    <w:rsid w:val="00CE6A17"/>
    <w:rsid w:val="00CE79D2"/>
    <w:rsid w:val="00CF18BE"/>
    <w:rsid w:val="00CF1DF1"/>
    <w:rsid w:val="00CF1E17"/>
    <w:rsid w:val="00CF25F4"/>
    <w:rsid w:val="00CF50B2"/>
    <w:rsid w:val="00CF6399"/>
    <w:rsid w:val="00CF641E"/>
    <w:rsid w:val="00CF70A9"/>
    <w:rsid w:val="00CF727D"/>
    <w:rsid w:val="00D0076B"/>
    <w:rsid w:val="00D00CC1"/>
    <w:rsid w:val="00D01F12"/>
    <w:rsid w:val="00D0392B"/>
    <w:rsid w:val="00D04F82"/>
    <w:rsid w:val="00D051DE"/>
    <w:rsid w:val="00D07006"/>
    <w:rsid w:val="00D075AF"/>
    <w:rsid w:val="00D1047D"/>
    <w:rsid w:val="00D1116E"/>
    <w:rsid w:val="00D1246F"/>
    <w:rsid w:val="00D1341A"/>
    <w:rsid w:val="00D1363D"/>
    <w:rsid w:val="00D13858"/>
    <w:rsid w:val="00D13B60"/>
    <w:rsid w:val="00D14A02"/>
    <w:rsid w:val="00D16306"/>
    <w:rsid w:val="00D1658A"/>
    <w:rsid w:val="00D16A2B"/>
    <w:rsid w:val="00D17440"/>
    <w:rsid w:val="00D17752"/>
    <w:rsid w:val="00D20802"/>
    <w:rsid w:val="00D20C8D"/>
    <w:rsid w:val="00D217EC"/>
    <w:rsid w:val="00D271CD"/>
    <w:rsid w:val="00D302F6"/>
    <w:rsid w:val="00D30823"/>
    <w:rsid w:val="00D311ED"/>
    <w:rsid w:val="00D31BD4"/>
    <w:rsid w:val="00D3225D"/>
    <w:rsid w:val="00D33F5A"/>
    <w:rsid w:val="00D35C1A"/>
    <w:rsid w:val="00D3718B"/>
    <w:rsid w:val="00D4005F"/>
    <w:rsid w:val="00D40457"/>
    <w:rsid w:val="00D40ADA"/>
    <w:rsid w:val="00D4350A"/>
    <w:rsid w:val="00D43711"/>
    <w:rsid w:val="00D439C2"/>
    <w:rsid w:val="00D43C34"/>
    <w:rsid w:val="00D45215"/>
    <w:rsid w:val="00D463B7"/>
    <w:rsid w:val="00D503CF"/>
    <w:rsid w:val="00D516DB"/>
    <w:rsid w:val="00D52A4A"/>
    <w:rsid w:val="00D52AE5"/>
    <w:rsid w:val="00D52E5A"/>
    <w:rsid w:val="00D52EA6"/>
    <w:rsid w:val="00D5479C"/>
    <w:rsid w:val="00D55CDA"/>
    <w:rsid w:val="00D6306C"/>
    <w:rsid w:val="00D63459"/>
    <w:rsid w:val="00D63AEA"/>
    <w:rsid w:val="00D66F37"/>
    <w:rsid w:val="00D674F5"/>
    <w:rsid w:val="00D67628"/>
    <w:rsid w:val="00D70B05"/>
    <w:rsid w:val="00D74150"/>
    <w:rsid w:val="00D74297"/>
    <w:rsid w:val="00D74C74"/>
    <w:rsid w:val="00D7618C"/>
    <w:rsid w:val="00D7641F"/>
    <w:rsid w:val="00D767AE"/>
    <w:rsid w:val="00D76F30"/>
    <w:rsid w:val="00D772E3"/>
    <w:rsid w:val="00D7735B"/>
    <w:rsid w:val="00D773B5"/>
    <w:rsid w:val="00D777F9"/>
    <w:rsid w:val="00D80DE3"/>
    <w:rsid w:val="00D862DB"/>
    <w:rsid w:val="00D9063F"/>
    <w:rsid w:val="00D9145D"/>
    <w:rsid w:val="00D9497F"/>
    <w:rsid w:val="00D9622D"/>
    <w:rsid w:val="00DA2992"/>
    <w:rsid w:val="00DA2CA8"/>
    <w:rsid w:val="00DA310A"/>
    <w:rsid w:val="00DA5A0C"/>
    <w:rsid w:val="00DA6428"/>
    <w:rsid w:val="00DA69CB"/>
    <w:rsid w:val="00DA6FCA"/>
    <w:rsid w:val="00DB122F"/>
    <w:rsid w:val="00DB24B4"/>
    <w:rsid w:val="00DB24C2"/>
    <w:rsid w:val="00DB2A6B"/>
    <w:rsid w:val="00DB2CF1"/>
    <w:rsid w:val="00DB2F8F"/>
    <w:rsid w:val="00DB3814"/>
    <w:rsid w:val="00DB4AA7"/>
    <w:rsid w:val="00DB5159"/>
    <w:rsid w:val="00DB54AC"/>
    <w:rsid w:val="00DB6756"/>
    <w:rsid w:val="00DB6D7B"/>
    <w:rsid w:val="00DB7D2C"/>
    <w:rsid w:val="00DC1A88"/>
    <w:rsid w:val="00DC1E3A"/>
    <w:rsid w:val="00DC284B"/>
    <w:rsid w:val="00DC2F58"/>
    <w:rsid w:val="00DC5181"/>
    <w:rsid w:val="00DC7211"/>
    <w:rsid w:val="00DD0420"/>
    <w:rsid w:val="00DD178B"/>
    <w:rsid w:val="00DD2782"/>
    <w:rsid w:val="00DD27CD"/>
    <w:rsid w:val="00DD33A7"/>
    <w:rsid w:val="00DD355C"/>
    <w:rsid w:val="00DD39A5"/>
    <w:rsid w:val="00DD3B94"/>
    <w:rsid w:val="00DD4DE2"/>
    <w:rsid w:val="00DD5ECE"/>
    <w:rsid w:val="00DD6043"/>
    <w:rsid w:val="00DD6108"/>
    <w:rsid w:val="00DE01E2"/>
    <w:rsid w:val="00DE0AF9"/>
    <w:rsid w:val="00DE167D"/>
    <w:rsid w:val="00DE1AC9"/>
    <w:rsid w:val="00DE2DAC"/>
    <w:rsid w:val="00DE6191"/>
    <w:rsid w:val="00DE75AC"/>
    <w:rsid w:val="00DF0DE1"/>
    <w:rsid w:val="00DF2026"/>
    <w:rsid w:val="00DF53BE"/>
    <w:rsid w:val="00E00548"/>
    <w:rsid w:val="00E01394"/>
    <w:rsid w:val="00E029A5"/>
    <w:rsid w:val="00E0314E"/>
    <w:rsid w:val="00E0476C"/>
    <w:rsid w:val="00E05203"/>
    <w:rsid w:val="00E07091"/>
    <w:rsid w:val="00E11EB3"/>
    <w:rsid w:val="00E12543"/>
    <w:rsid w:val="00E13314"/>
    <w:rsid w:val="00E17467"/>
    <w:rsid w:val="00E21694"/>
    <w:rsid w:val="00E2210E"/>
    <w:rsid w:val="00E236E6"/>
    <w:rsid w:val="00E2499C"/>
    <w:rsid w:val="00E261C1"/>
    <w:rsid w:val="00E279BB"/>
    <w:rsid w:val="00E27E89"/>
    <w:rsid w:val="00E30452"/>
    <w:rsid w:val="00E32CAA"/>
    <w:rsid w:val="00E35548"/>
    <w:rsid w:val="00E35D2E"/>
    <w:rsid w:val="00E41686"/>
    <w:rsid w:val="00E41E32"/>
    <w:rsid w:val="00E441C4"/>
    <w:rsid w:val="00E45E05"/>
    <w:rsid w:val="00E47BDC"/>
    <w:rsid w:val="00E50EA2"/>
    <w:rsid w:val="00E5546B"/>
    <w:rsid w:val="00E55943"/>
    <w:rsid w:val="00E56666"/>
    <w:rsid w:val="00E568ED"/>
    <w:rsid w:val="00E57AF1"/>
    <w:rsid w:val="00E57C5B"/>
    <w:rsid w:val="00E60261"/>
    <w:rsid w:val="00E611F1"/>
    <w:rsid w:val="00E61438"/>
    <w:rsid w:val="00E616A5"/>
    <w:rsid w:val="00E6321A"/>
    <w:rsid w:val="00E65BC3"/>
    <w:rsid w:val="00E66352"/>
    <w:rsid w:val="00E6702F"/>
    <w:rsid w:val="00E700A8"/>
    <w:rsid w:val="00E7031C"/>
    <w:rsid w:val="00E716E4"/>
    <w:rsid w:val="00E71CAA"/>
    <w:rsid w:val="00E71DA7"/>
    <w:rsid w:val="00E72BCB"/>
    <w:rsid w:val="00E72C56"/>
    <w:rsid w:val="00E7426E"/>
    <w:rsid w:val="00E75B94"/>
    <w:rsid w:val="00E76424"/>
    <w:rsid w:val="00E76B6E"/>
    <w:rsid w:val="00E775BD"/>
    <w:rsid w:val="00E77900"/>
    <w:rsid w:val="00E8093E"/>
    <w:rsid w:val="00E8241B"/>
    <w:rsid w:val="00E824A6"/>
    <w:rsid w:val="00E83EC2"/>
    <w:rsid w:val="00E846BE"/>
    <w:rsid w:val="00E879A5"/>
    <w:rsid w:val="00E90418"/>
    <w:rsid w:val="00E9176C"/>
    <w:rsid w:val="00E918DE"/>
    <w:rsid w:val="00E92256"/>
    <w:rsid w:val="00E925E1"/>
    <w:rsid w:val="00E94D10"/>
    <w:rsid w:val="00E95F8C"/>
    <w:rsid w:val="00E975E0"/>
    <w:rsid w:val="00E97BE0"/>
    <w:rsid w:val="00E97D30"/>
    <w:rsid w:val="00EA0E18"/>
    <w:rsid w:val="00EA1E87"/>
    <w:rsid w:val="00EA5069"/>
    <w:rsid w:val="00EA5A71"/>
    <w:rsid w:val="00EB2AA4"/>
    <w:rsid w:val="00EB3581"/>
    <w:rsid w:val="00EB386E"/>
    <w:rsid w:val="00EB63C5"/>
    <w:rsid w:val="00EB7DA2"/>
    <w:rsid w:val="00EC04E5"/>
    <w:rsid w:val="00EC0F59"/>
    <w:rsid w:val="00EC248C"/>
    <w:rsid w:val="00EC289C"/>
    <w:rsid w:val="00EC417C"/>
    <w:rsid w:val="00EC73D9"/>
    <w:rsid w:val="00ED1485"/>
    <w:rsid w:val="00ED1984"/>
    <w:rsid w:val="00ED30B7"/>
    <w:rsid w:val="00ED3A7E"/>
    <w:rsid w:val="00ED588A"/>
    <w:rsid w:val="00ED6B2C"/>
    <w:rsid w:val="00ED7EA9"/>
    <w:rsid w:val="00EE1EE4"/>
    <w:rsid w:val="00EE220C"/>
    <w:rsid w:val="00EE2355"/>
    <w:rsid w:val="00EE3395"/>
    <w:rsid w:val="00EE443E"/>
    <w:rsid w:val="00EE6063"/>
    <w:rsid w:val="00EE67AB"/>
    <w:rsid w:val="00EF1987"/>
    <w:rsid w:val="00EF23D9"/>
    <w:rsid w:val="00EF712C"/>
    <w:rsid w:val="00EF7BC0"/>
    <w:rsid w:val="00F01571"/>
    <w:rsid w:val="00F024D0"/>
    <w:rsid w:val="00F028FD"/>
    <w:rsid w:val="00F0457D"/>
    <w:rsid w:val="00F04D6F"/>
    <w:rsid w:val="00F051D4"/>
    <w:rsid w:val="00F124B3"/>
    <w:rsid w:val="00F139D1"/>
    <w:rsid w:val="00F15190"/>
    <w:rsid w:val="00F169C7"/>
    <w:rsid w:val="00F210D2"/>
    <w:rsid w:val="00F21CBC"/>
    <w:rsid w:val="00F24866"/>
    <w:rsid w:val="00F2590E"/>
    <w:rsid w:val="00F26E0F"/>
    <w:rsid w:val="00F27572"/>
    <w:rsid w:val="00F303CF"/>
    <w:rsid w:val="00F30747"/>
    <w:rsid w:val="00F3128E"/>
    <w:rsid w:val="00F31824"/>
    <w:rsid w:val="00F31B0D"/>
    <w:rsid w:val="00F35C85"/>
    <w:rsid w:val="00F37136"/>
    <w:rsid w:val="00F40882"/>
    <w:rsid w:val="00F40EB0"/>
    <w:rsid w:val="00F419D2"/>
    <w:rsid w:val="00F42C31"/>
    <w:rsid w:val="00F43852"/>
    <w:rsid w:val="00F44DD0"/>
    <w:rsid w:val="00F45F5F"/>
    <w:rsid w:val="00F461AC"/>
    <w:rsid w:val="00F46EBB"/>
    <w:rsid w:val="00F52650"/>
    <w:rsid w:val="00F539C6"/>
    <w:rsid w:val="00F55692"/>
    <w:rsid w:val="00F56BA1"/>
    <w:rsid w:val="00F571D4"/>
    <w:rsid w:val="00F573CA"/>
    <w:rsid w:val="00F57F29"/>
    <w:rsid w:val="00F602D1"/>
    <w:rsid w:val="00F611B7"/>
    <w:rsid w:val="00F61A84"/>
    <w:rsid w:val="00F63237"/>
    <w:rsid w:val="00F6347D"/>
    <w:rsid w:val="00F63CD1"/>
    <w:rsid w:val="00F653A3"/>
    <w:rsid w:val="00F65515"/>
    <w:rsid w:val="00F65A3D"/>
    <w:rsid w:val="00F66317"/>
    <w:rsid w:val="00F663C6"/>
    <w:rsid w:val="00F666F4"/>
    <w:rsid w:val="00F67E5E"/>
    <w:rsid w:val="00F70675"/>
    <w:rsid w:val="00F71179"/>
    <w:rsid w:val="00F71261"/>
    <w:rsid w:val="00F737A2"/>
    <w:rsid w:val="00F7400A"/>
    <w:rsid w:val="00F7596B"/>
    <w:rsid w:val="00F766F6"/>
    <w:rsid w:val="00F813DC"/>
    <w:rsid w:val="00F8174B"/>
    <w:rsid w:val="00F82215"/>
    <w:rsid w:val="00F828A3"/>
    <w:rsid w:val="00F82DBC"/>
    <w:rsid w:val="00F8625A"/>
    <w:rsid w:val="00F864AD"/>
    <w:rsid w:val="00F864C4"/>
    <w:rsid w:val="00F876EB"/>
    <w:rsid w:val="00F90525"/>
    <w:rsid w:val="00F908F2"/>
    <w:rsid w:val="00F90C22"/>
    <w:rsid w:val="00F91A9D"/>
    <w:rsid w:val="00F92C55"/>
    <w:rsid w:val="00F92E06"/>
    <w:rsid w:val="00F9419F"/>
    <w:rsid w:val="00F943A2"/>
    <w:rsid w:val="00F94B04"/>
    <w:rsid w:val="00F96F77"/>
    <w:rsid w:val="00FA0028"/>
    <w:rsid w:val="00FA197B"/>
    <w:rsid w:val="00FA289B"/>
    <w:rsid w:val="00FA420B"/>
    <w:rsid w:val="00FA4AAC"/>
    <w:rsid w:val="00FA5C1B"/>
    <w:rsid w:val="00FA5D0D"/>
    <w:rsid w:val="00FA7EAF"/>
    <w:rsid w:val="00FB018D"/>
    <w:rsid w:val="00FB075D"/>
    <w:rsid w:val="00FB26EF"/>
    <w:rsid w:val="00FB311B"/>
    <w:rsid w:val="00FB3F55"/>
    <w:rsid w:val="00FB5D0E"/>
    <w:rsid w:val="00FC1F16"/>
    <w:rsid w:val="00FC30BB"/>
    <w:rsid w:val="00FC3B7C"/>
    <w:rsid w:val="00FC3FB7"/>
    <w:rsid w:val="00FC409F"/>
    <w:rsid w:val="00FC5782"/>
    <w:rsid w:val="00FC693D"/>
    <w:rsid w:val="00FC6CCF"/>
    <w:rsid w:val="00FD3249"/>
    <w:rsid w:val="00FD379F"/>
    <w:rsid w:val="00FD385E"/>
    <w:rsid w:val="00FD54F1"/>
    <w:rsid w:val="00FD58A0"/>
    <w:rsid w:val="00FD5920"/>
    <w:rsid w:val="00FD5CEB"/>
    <w:rsid w:val="00FD5E5F"/>
    <w:rsid w:val="00FD6C62"/>
    <w:rsid w:val="00FE32A2"/>
    <w:rsid w:val="00FE4CDD"/>
    <w:rsid w:val="00FE563B"/>
    <w:rsid w:val="00FE6DC0"/>
    <w:rsid w:val="00FE79E8"/>
    <w:rsid w:val="00FE7B02"/>
    <w:rsid w:val="00FE7E61"/>
    <w:rsid w:val="00FF0D88"/>
    <w:rsid w:val="00FF5C07"/>
    <w:rsid w:val="00FF7052"/>
    <w:rsid w:val="00FF7773"/>
    <w:rsid w:val="00FF7DA5"/>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811CFAB"/>
  <w15:docId w15:val="{96C8831C-90BF-4693-97AA-4CDFD2C5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A0"/>
  </w:style>
  <w:style w:type="paragraph" w:styleId="Titre1">
    <w:name w:val="heading 1"/>
    <w:basedOn w:val="Normal"/>
    <w:next w:val="Normal"/>
    <w:link w:val="Titre1Car"/>
    <w:uiPriority w:val="9"/>
    <w:qFormat/>
    <w:rsid w:val="00022DA0"/>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022DA0"/>
    <w:pPr>
      <w:spacing w:after="0"/>
      <w:jc w:val="left"/>
      <w:outlineLvl w:val="1"/>
    </w:pPr>
    <w:rPr>
      <w:smallCaps/>
      <w:spacing w:val="5"/>
      <w:sz w:val="28"/>
      <w:szCs w:val="28"/>
    </w:rPr>
  </w:style>
  <w:style w:type="paragraph" w:styleId="Titre3">
    <w:name w:val="heading 3"/>
    <w:basedOn w:val="Normal"/>
    <w:next w:val="Normal"/>
    <w:link w:val="Titre3Car"/>
    <w:uiPriority w:val="9"/>
    <w:unhideWhenUsed/>
    <w:qFormat/>
    <w:rsid w:val="00022DA0"/>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022DA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022DA0"/>
    <w:pPr>
      <w:spacing w:after="0"/>
      <w:jc w:val="left"/>
      <w:outlineLvl w:val="4"/>
    </w:pPr>
    <w:rPr>
      <w:smallCaps/>
      <w:color w:val="E36C0A" w:themeColor="accent6" w:themeShade="BF"/>
      <w:spacing w:val="10"/>
      <w:sz w:val="22"/>
      <w:szCs w:val="22"/>
    </w:rPr>
  </w:style>
  <w:style w:type="paragraph" w:styleId="Titre6">
    <w:name w:val="heading 6"/>
    <w:basedOn w:val="Normal"/>
    <w:next w:val="Normal"/>
    <w:link w:val="Titre6Car"/>
    <w:uiPriority w:val="9"/>
    <w:unhideWhenUsed/>
    <w:qFormat/>
    <w:rsid w:val="00022DA0"/>
    <w:pPr>
      <w:spacing w:after="0"/>
      <w:jc w:val="left"/>
      <w:outlineLvl w:val="5"/>
    </w:pPr>
    <w:rPr>
      <w:smallCaps/>
      <w:color w:val="F79646" w:themeColor="accent6"/>
      <w:spacing w:val="5"/>
      <w:sz w:val="22"/>
      <w:szCs w:val="22"/>
    </w:rPr>
  </w:style>
  <w:style w:type="paragraph" w:styleId="Titre7">
    <w:name w:val="heading 7"/>
    <w:basedOn w:val="Normal"/>
    <w:next w:val="Normal"/>
    <w:link w:val="Titre7Car"/>
    <w:uiPriority w:val="9"/>
    <w:semiHidden/>
    <w:unhideWhenUsed/>
    <w:qFormat/>
    <w:rsid w:val="00022DA0"/>
    <w:pPr>
      <w:spacing w:after="0"/>
      <w:jc w:val="left"/>
      <w:outlineLvl w:val="6"/>
    </w:pPr>
    <w:rPr>
      <w:b/>
      <w:bCs/>
      <w:smallCaps/>
      <w:color w:val="F79646" w:themeColor="accent6"/>
      <w:spacing w:val="10"/>
    </w:rPr>
  </w:style>
  <w:style w:type="paragraph" w:styleId="Titre8">
    <w:name w:val="heading 8"/>
    <w:basedOn w:val="Normal"/>
    <w:next w:val="Normal"/>
    <w:link w:val="Titre8Car"/>
    <w:uiPriority w:val="9"/>
    <w:semiHidden/>
    <w:unhideWhenUsed/>
    <w:qFormat/>
    <w:rsid w:val="00022DA0"/>
    <w:pPr>
      <w:spacing w:after="0"/>
      <w:jc w:val="left"/>
      <w:outlineLvl w:val="7"/>
    </w:pPr>
    <w:rPr>
      <w:b/>
      <w:bCs/>
      <w:i/>
      <w:iCs/>
      <w:smallCaps/>
      <w:color w:val="E36C0A" w:themeColor="accent6" w:themeShade="BF"/>
    </w:rPr>
  </w:style>
  <w:style w:type="paragraph" w:styleId="Titre9">
    <w:name w:val="heading 9"/>
    <w:basedOn w:val="Normal"/>
    <w:next w:val="Normal"/>
    <w:link w:val="Titre9Car"/>
    <w:uiPriority w:val="9"/>
    <w:semiHidden/>
    <w:unhideWhenUsed/>
    <w:qFormat/>
    <w:rsid w:val="00022DA0"/>
    <w:pPr>
      <w:spacing w:after="0"/>
      <w:jc w:val="left"/>
      <w:outlineLvl w:val="8"/>
    </w:pPr>
    <w:rPr>
      <w:b/>
      <w:bCs/>
      <w:i/>
      <w:iCs/>
      <w:smallCaps/>
      <w:color w:val="98480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olor w:val="000080"/>
      <w:lang w:val="en-GB" w:eastAsia="en-GB"/>
    </w:rPr>
  </w:style>
  <w:style w:type="character" w:customStyle="1" w:styleId="WW8Num3z0">
    <w:name w:val="WW8Num3z0"/>
    <w:rPr>
      <w:rFonts w:ascii="Symbol" w:hAnsi="Symbol"/>
      <w:lang w:val="en-GB" w:eastAsia="en-GB"/>
    </w:rPr>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lang w:val="en-GB" w:eastAsia="en-GB"/>
    </w:rPr>
  </w:style>
  <w:style w:type="character" w:customStyle="1" w:styleId="WW8Num3z3">
    <w:name w:val="WW8Num3z3"/>
    <w:rPr>
      <w:rFonts w:ascii="Symbol" w:hAnsi="Symbol"/>
      <w:lang w:val="en-GB" w:eastAsia="en-GB"/>
    </w:rPr>
  </w:style>
  <w:style w:type="character" w:customStyle="1" w:styleId="WW8Num3z4">
    <w:name w:val="WW8Num3z4"/>
    <w:rPr>
      <w:rFonts w:ascii="Courier New" w:hAnsi="Courier New" w:cs="Courier New"/>
      <w:lang w:val="en-GB" w:eastAsia="en-GB"/>
    </w:rPr>
  </w:style>
  <w:style w:type="character" w:customStyle="1" w:styleId="WW8Num3z5">
    <w:name w:val="WW8Num3z5"/>
    <w:rPr>
      <w:rFonts w:ascii="Wingdings" w:hAnsi="Wingdings"/>
      <w:lang w:val="en-GB" w:eastAsia="en-GB"/>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lang w:val="en-GB" w:eastAsia="en-GB"/>
    </w:rPr>
  </w:style>
  <w:style w:type="character" w:customStyle="1" w:styleId="WW8Num1z1">
    <w:name w:val="WW8Num1z1"/>
    <w:rPr>
      <w:rFonts w:ascii="Courier New" w:hAnsi="Courier New" w:cs="Courier New"/>
      <w:lang w:val="en-GB" w:eastAsia="en-GB"/>
    </w:rPr>
  </w:style>
  <w:style w:type="character" w:customStyle="1" w:styleId="WW8Num1z2">
    <w:name w:val="WW8Num1z2"/>
    <w:rPr>
      <w:rFonts w:ascii="Wingdings" w:hAnsi="Wingdings"/>
      <w:lang w:val="en-GB" w:eastAsia="en-GB"/>
    </w:rPr>
  </w:style>
  <w:style w:type="character" w:customStyle="1" w:styleId="WW8Num1z3">
    <w:name w:val="WW8Num1z3"/>
    <w:rPr>
      <w:rFonts w:ascii="Symbol" w:hAnsi="Symbol"/>
      <w:lang w:val="en-GB" w:eastAsia="en-GB"/>
    </w:rPr>
  </w:style>
  <w:style w:type="character" w:customStyle="1" w:styleId="WW8Num2z1">
    <w:name w:val="WW8Num2z1"/>
    <w:rPr>
      <w:rFonts w:ascii="Wingdings" w:hAnsi="Wingdings"/>
      <w:color w:val="000080"/>
      <w:lang w:val="en-GB" w:eastAsia="en-GB"/>
    </w:rPr>
  </w:style>
  <w:style w:type="character" w:customStyle="1" w:styleId="WW8Num2z2">
    <w:name w:val="WW8Num2z2"/>
    <w:rPr>
      <w:rFonts w:ascii="Arial" w:eastAsia="MS Mincho" w:hAnsi="Arial" w:cs="Arial"/>
      <w:lang w:val="en-GB" w:eastAsia="en-GB"/>
    </w:rPr>
  </w:style>
  <w:style w:type="character" w:customStyle="1" w:styleId="WW8Num2z3">
    <w:name w:val="WW8Num2z3"/>
    <w:rPr>
      <w:rFonts w:ascii="Symbol" w:hAnsi="Symbol"/>
      <w:lang w:val="en-GB" w:eastAsia="en-GB"/>
    </w:rPr>
  </w:style>
  <w:style w:type="character" w:customStyle="1" w:styleId="WW8Num2z4">
    <w:name w:val="WW8Num2z4"/>
    <w:rPr>
      <w:rFonts w:ascii="Courier New" w:hAnsi="Courier New" w:cs="Courier New"/>
      <w:lang w:val="en-GB" w:eastAsia="en-GB"/>
    </w:rPr>
  </w:style>
  <w:style w:type="character" w:customStyle="1" w:styleId="WW8Num2z5">
    <w:name w:val="WW8Num2z5"/>
    <w:rPr>
      <w:rFonts w:ascii="Wingdings" w:hAnsi="Wingdings"/>
      <w:lang w:val="en-GB" w:eastAsia="en-GB"/>
    </w:rPr>
  </w:style>
  <w:style w:type="character" w:customStyle="1" w:styleId="WW8Num4z0">
    <w:name w:val="WW8Num4z0"/>
    <w:rPr>
      <w:rFonts w:ascii="Symbol" w:hAnsi="Symbol"/>
      <w:color w:val="000080"/>
      <w:lang w:val="en-GB" w:eastAsia="en-GB"/>
    </w:rPr>
  </w:style>
  <w:style w:type="character" w:customStyle="1" w:styleId="WW8Num4z1">
    <w:name w:val="WW8Num4z1"/>
    <w:rPr>
      <w:rFonts w:ascii="Courier New" w:hAnsi="Courier New"/>
      <w:color w:val="000080"/>
      <w:lang w:val="en-GB" w:eastAsia="en-GB"/>
    </w:rPr>
  </w:style>
  <w:style w:type="character" w:customStyle="1" w:styleId="WW8Num4z2">
    <w:name w:val="WW8Num4z2"/>
    <w:rPr>
      <w:rFonts w:ascii="Arial" w:eastAsia="MS Mincho" w:hAnsi="Arial" w:cs="Arial"/>
      <w:lang w:val="en-GB" w:eastAsia="en-GB"/>
    </w:rPr>
  </w:style>
  <w:style w:type="character" w:customStyle="1" w:styleId="WW8Num4z3">
    <w:name w:val="WW8Num4z3"/>
    <w:rPr>
      <w:rFonts w:ascii="Symbol" w:hAnsi="Symbol"/>
      <w:lang w:val="en-GB" w:eastAsia="en-GB"/>
    </w:rPr>
  </w:style>
  <w:style w:type="character" w:customStyle="1" w:styleId="WW8Num4z4">
    <w:name w:val="WW8Num4z4"/>
    <w:rPr>
      <w:rFonts w:ascii="Courier New" w:hAnsi="Courier New" w:cs="Courier New"/>
      <w:lang w:val="en-GB" w:eastAsia="en-GB"/>
    </w:rPr>
  </w:style>
  <w:style w:type="character" w:customStyle="1" w:styleId="WW8Num4z5">
    <w:name w:val="WW8Num4z5"/>
    <w:rPr>
      <w:rFonts w:ascii="Wingdings" w:hAnsi="Wingdings"/>
      <w:lang w:val="en-GB" w:eastAsia="en-GB"/>
    </w:rPr>
  </w:style>
  <w:style w:type="character" w:customStyle="1" w:styleId="WW8Num5z0">
    <w:name w:val="WW8Num5z0"/>
    <w:rPr>
      <w:rFonts w:ascii="Symbol" w:hAnsi="Symbol"/>
      <w:color w:val="61B57C"/>
      <w:w w:val="100"/>
      <w:lang w:val="en-GB" w:eastAsia="en-GB"/>
    </w:rPr>
  </w:style>
  <w:style w:type="character" w:customStyle="1" w:styleId="WW8Num5z1">
    <w:name w:val="WW8Num5z1"/>
    <w:rPr>
      <w:rFonts w:ascii="Courier New" w:hAnsi="Courier New" w:cs="Courier New"/>
      <w:lang w:val="en-GB" w:eastAsia="en-GB"/>
    </w:rPr>
  </w:style>
  <w:style w:type="character" w:customStyle="1" w:styleId="WW8Num5z2">
    <w:name w:val="WW8Num5z2"/>
    <w:rPr>
      <w:rFonts w:ascii="Wingdings" w:hAnsi="Wingdings"/>
      <w:lang w:val="en-GB" w:eastAsia="en-GB"/>
    </w:rPr>
  </w:style>
  <w:style w:type="character" w:customStyle="1" w:styleId="WW8Num5z3">
    <w:name w:val="WW8Num5z3"/>
    <w:rPr>
      <w:rFonts w:ascii="Symbol" w:hAnsi="Symbol"/>
      <w:lang w:val="en-GB" w:eastAsia="en-GB"/>
    </w:rPr>
  </w:style>
  <w:style w:type="character" w:customStyle="1" w:styleId="WW8Num6z0">
    <w:name w:val="WW8Num6z0"/>
    <w:rPr>
      <w:rFonts w:ascii="Symbol" w:hAnsi="Symbol"/>
      <w:color w:val="61B57C"/>
      <w:w w:val="100"/>
      <w:lang w:val="en-GB" w:eastAsia="en-GB"/>
    </w:rPr>
  </w:style>
  <w:style w:type="character" w:customStyle="1" w:styleId="WW8Num6z1">
    <w:name w:val="WW8Num6z1"/>
    <w:rPr>
      <w:rFonts w:ascii="Courier New" w:hAnsi="Courier New" w:cs="Courier New"/>
      <w:lang w:val="en-GB" w:eastAsia="en-GB"/>
    </w:rPr>
  </w:style>
  <w:style w:type="character" w:customStyle="1" w:styleId="WW8Num6z2">
    <w:name w:val="WW8Num6z2"/>
    <w:rPr>
      <w:rFonts w:ascii="Wingdings" w:hAnsi="Wingdings"/>
      <w:lang w:val="en-GB" w:eastAsia="en-GB"/>
    </w:rPr>
  </w:style>
  <w:style w:type="character" w:customStyle="1" w:styleId="WW8Num6z3">
    <w:name w:val="WW8Num6z3"/>
    <w:rPr>
      <w:rFonts w:ascii="Symbol" w:hAnsi="Symbol"/>
      <w:lang w:val="en-GB" w:eastAsia="en-GB"/>
    </w:rPr>
  </w:style>
  <w:style w:type="character" w:customStyle="1" w:styleId="WW8Num7z0">
    <w:name w:val="WW8Num7z0"/>
    <w:rPr>
      <w:rFonts w:ascii="Symbol" w:hAnsi="Symbol"/>
      <w:color w:val="000080"/>
      <w:lang w:val="en-GB" w:eastAsia="en-GB"/>
    </w:rPr>
  </w:style>
  <w:style w:type="character" w:customStyle="1" w:styleId="WW8Num7z1">
    <w:name w:val="WW8Num7z1"/>
    <w:rPr>
      <w:rFonts w:ascii="Wingdings" w:hAnsi="Wingdings"/>
      <w:color w:val="000080"/>
      <w:lang w:val="en-GB" w:eastAsia="en-GB"/>
    </w:rPr>
  </w:style>
  <w:style w:type="character" w:customStyle="1" w:styleId="WW8Num7z2">
    <w:name w:val="WW8Num7z2"/>
    <w:rPr>
      <w:rFonts w:ascii="Arial" w:eastAsia="MS Mincho" w:hAnsi="Arial" w:cs="Arial"/>
      <w:lang w:val="en-GB" w:eastAsia="en-GB"/>
    </w:rPr>
  </w:style>
  <w:style w:type="character" w:customStyle="1" w:styleId="WW8Num7z3">
    <w:name w:val="WW8Num7z3"/>
    <w:rPr>
      <w:rFonts w:ascii="Symbol" w:hAnsi="Symbol"/>
      <w:lang w:val="en-GB" w:eastAsia="en-GB"/>
    </w:rPr>
  </w:style>
  <w:style w:type="character" w:customStyle="1" w:styleId="WW8Num7z4">
    <w:name w:val="WW8Num7z4"/>
    <w:rPr>
      <w:rFonts w:ascii="Courier New" w:hAnsi="Courier New" w:cs="Courier New"/>
      <w:lang w:val="en-GB" w:eastAsia="en-GB"/>
    </w:rPr>
  </w:style>
  <w:style w:type="character" w:customStyle="1" w:styleId="WW8Num7z5">
    <w:name w:val="WW8Num7z5"/>
    <w:rPr>
      <w:rFonts w:ascii="Wingdings" w:hAnsi="Wingdings"/>
      <w:lang w:val="en-GB" w:eastAsia="en-GB"/>
    </w:rPr>
  </w:style>
  <w:style w:type="character" w:customStyle="1" w:styleId="WW8Num8z0">
    <w:name w:val="WW8Num8z0"/>
    <w:rPr>
      <w:rFonts w:ascii="Symbol" w:hAnsi="Symbol"/>
      <w:lang w:val="en-GB" w:eastAsia="en-GB"/>
    </w:rPr>
  </w:style>
  <w:style w:type="character" w:customStyle="1" w:styleId="WW8Num8z1">
    <w:name w:val="WW8Num8z1"/>
    <w:rPr>
      <w:rFonts w:ascii="Courier New" w:hAnsi="Courier New" w:cs="Courier New"/>
      <w:lang w:val="en-GB" w:eastAsia="en-GB"/>
    </w:rPr>
  </w:style>
  <w:style w:type="character" w:customStyle="1" w:styleId="WW8Num8z2">
    <w:name w:val="WW8Num8z2"/>
    <w:rPr>
      <w:rFonts w:ascii="Wingdings" w:hAnsi="Wingdings"/>
      <w:lang w:val="en-GB" w:eastAsia="en-GB"/>
    </w:rPr>
  </w:style>
  <w:style w:type="character" w:customStyle="1" w:styleId="WW8Num9z0">
    <w:name w:val="WW8Num9z0"/>
    <w:rPr>
      <w:rFonts w:ascii="Symbol" w:hAnsi="Symbol"/>
      <w:color w:val="000080"/>
      <w:lang w:val="en-GB" w:eastAsia="en-GB"/>
    </w:rPr>
  </w:style>
  <w:style w:type="character" w:customStyle="1" w:styleId="WW8Num9z1">
    <w:name w:val="WW8Num9z1"/>
    <w:rPr>
      <w:rFonts w:ascii="Wingdings" w:hAnsi="Wingdings"/>
      <w:color w:val="61B57C"/>
      <w:lang w:val="en-GB" w:eastAsia="en-GB"/>
    </w:rPr>
  </w:style>
  <w:style w:type="character" w:customStyle="1" w:styleId="WW8Num9z2">
    <w:name w:val="WW8Num9z2"/>
    <w:rPr>
      <w:rFonts w:ascii="Arial" w:eastAsia="MS Mincho" w:hAnsi="Arial" w:cs="Arial"/>
      <w:lang w:val="en-GB" w:eastAsia="en-GB"/>
    </w:rPr>
  </w:style>
  <w:style w:type="character" w:customStyle="1" w:styleId="WW8Num9z3">
    <w:name w:val="WW8Num9z3"/>
    <w:rPr>
      <w:rFonts w:ascii="Symbol" w:hAnsi="Symbol"/>
      <w:lang w:val="en-GB" w:eastAsia="en-GB"/>
    </w:rPr>
  </w:style>
  <w:style w:type="character" w:customStyle="1" w:styleId="WW8Num9z4">
    <w:name w:val="WW8Num9z4"/>
    <w:rPr>
      <w:rFonts w:ascii="Courier New" w:hAnsi="Courier New" w:cs="Courier New"/>
      <w:lang w:val="en-GB" w:eastAsia="en-GB"/>
    </w:rPr>
  </w:style>
  <w:style w:type="character" w:customStyle="1" w:styleId="WW8Num9z5">
    <w:name w:val="WW8Num9z5"/>
    <w:rPr>
      <w:rFonts w:ascii="Wingdings" w:hAnsi="Wingdings"/>
      <w:lang w:val="en-GB" w:eastAsia="en-GB"/>
    </w:rPr>
  </w:style>
  <w:style w:type="character" w:customStyle="1" w:styleId="WW8Num11z0">
    <w:name w:val="WW8Num11z0"/>
    <w:rPr>
      <w:rFonts w:ascii="Symbol" w:hAnsi="Symbol"/>
      <w:color w:val="000080"/>
      <w:lang w:val="en-GB" w:eastAsia="en-GB"/>
    </w:rPr>
  </w:style>
  <w:style w:type="character" w:customStyle="1" w:styleId="WW8Num11z1">
    <w:name w:val="WW8Num11z1"/>
    <w:rPr>
      <w:rFonts w:ascii="Courier New" w:hAnsi="Courier New"/>
      <w:color w:val="000080"/>
      <w:lang w:val="en-GB" w:eastAsia="en-GB"/>
    </w:rPr>
  </w:style>
  <w:style w:type="character" w:customStyle="1" w:styleId="WW8Num11z2">
    <w:name w:val="WW8Num11z2"/>
    <w:rPr>
      <w:rFonts w:ascii="Arial" w:eastAsia="MS Mincho" w:hAnsi="Arial" w:cs="Arial"/>
      <w:lang w:val="en-GB" w:eastAsia="en-GB"/>
    </w:rPr>
  </w:style>
  <w:style w:type="character" w:customStyle="1" w:styleId="WW8Num11z3">
    <w:name w:val="WW8Num11z3"/>
    <w:rPr>
      <w:rFonts w:ascii="Symbol" w:hAnsi="Symbol"/>
      <w:lang w:val="en-GB" w:eastAsia="en-GB"/>
    </w:rPr>
  </w:style>
  <w:style w:type="character" w:customStyle="1" w:styleId="WW8Num11z4">
    <w:name w:val="WW8Num11z4"/>
    <w:rPr>
      <w:rFonts w:ascii="Courier New" w:hAnsi="Courier New" w:cs="Courier New"/>
      <w:lang w:val="en-GB" w:eastAsia="en-GB"/>
    </w:rPr>
  </w:style>
  <w:style w:type="character" w:customStyle="1" w:styleId="WW8Num11z5">
    <w:name w:val="WW8Num11z5"/>
    <w:rPr>
      <w:rFonts w:ascii="Wingdings" w:hAnsi="Wingdings"/>
      <w:lang w:val="en-GB" w:eastAsia="en-GB"/>
    </w:rPr>
  </w:style>
  <w:style w:type="character" w:customStyle="1" w:styleId="WW8Num12z0">
    <w:name w:val="WW8Num12z0"/>
    <w:rPr>
      <w:rFonts w:ascii="Symbol" w:hAnsi="Symbol"/>
      <w:color w:val="61B57C"/>
      <w:w w:val="100"/>
      <w:lang w:val="en-GB" w:eastAsia="en-GB"/>
    </w:rPr>
  </w:style>
  <w:style w:type="character" w:customStyle="1" w:styleId="WW8Num12z1">
    <w:name w:val="WW8Num12z1"/>
    <w:rPr>
      <w:rFonts w:ascii="Courier New" w:hAnsi="Courier New" w:cs="Courier New"/>
      <w:lang w:val="en-GB" w:eastAsia="en-GB"/>
    </w:rPr>
  </w:style>
  <w:style w:type="character" w:customStyle="1" w:styleId="WW8Num12z2">
    <w:name w:val="WW8Num12z2"/>
    <w:rPr>
      <w:rFonts w:ascii="Wingdings" w:hAnsi="Wingdings"/>
      <w:lang w:val="en-GB" w:eastAsia="en-GB"/>
    </w:rPr>
  </w:style>
  <w:style w:type="character" w:customStyle="1" w:styleId="WW8Num12z3">
    <w:name w:val="WW8Num12z3"/>
    <w:rPr>
      <w:rFonts w:ascii="Symbol" w:hAnsi="Symbol"/>
      <w:lang w:val="en-GB" w:eastAsia="en-GB"/>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lang w:val="en-GB" w:eastAsia="en-GB"/>
    </w:rPr>
  </w:style>
  <w:style w:type="character" w:styleId="Lienhypertexte">
    <w:name w:val="Hyperlink"/>
    <w:uiPriority w:val="99"/>
    <w:rPr>
      <w:rFonts w:cs="Times New Roman"/>
      <w:color w:val="0000FF"/>
      <w:u w:val="single"/>
      <w:lang w:val="en-GB" w:eastAsia="en-GB"/>
    </w:rPr>
  </w:style>
  <w:style w:type="character" w:customStyle="1" w:styleId="Caractresdenotedebasdepage">
    <w:name w:val="Caractères de note de bas de page"/>
    <w:rPr>
      <w:vertAlign w:val="superscript"/>
      <w:lang w:val="en-GB" w:eastAsia="en-GB"/>
    </w:rPr>
  </w:style>
  <w:style w:type="character" w:customStyle="1" w:styleId="st1">
    <w:name w:val="st1"/>
    <w:basedOn w:val="Policepardfaut1"/>
  </w:style>
  <w:style w:type="character" w:styleId="Numrodepage">
    <w:name w:val="page number"/>
    <w:basedOn w:val="Policepardfaut1"/>
    <w:semiHidden/>
  </w:style>
  <w:style w:type="character" w:styleId="lev">
    <w:name w:val="Strong"/>
    <w:uiPriority w:val="22"/>
    <w:qFormat/>
    <w:rsid w:val="00022DA0"/>
    <w:rPr>
      <w:b/>
      <w:bCs/>
      <w:color w:val="F79646" w:themeColor="accent6"/>
    </w:rPr>
  </w:style>
  <w:style w:type="character" w:customStyle="1" w:styleId="PieddepageCar">
    <w:name w:val="Pied de page Car"/>
    <w:uiPriority w:val="99"/>
    <w:rPr>
      <w:rFonts w:ascii="Cambria" w:eastAsia="MS Mincho" w:hAnsi="Cambria" w:cs="Cambria"/>
      <w:sz w:val="24"/>
      <w:szCs w:val="24"/>
      <w:lang w:val="en-GB" w:eastAsia="en-GB"/>
    </w:rPr>
  </w:style>
  <w:style w:type="character" w:customStyle="1" w:styleId="italique">
    <w:name w:val="italique"/>
  </w:style>
  <w:style w:type="character" w:customStyle="1" w:styleId="Appelnotedebasdep1">
    <w:name w:val="Appel note de bas de p.1"/>
    <w:rPr>
      <w:vertAlign w:val="superscript"/>
      <w:lang w:val="en-GB" w:eastAsia="en-GB"/>
    </w:rPr>
  </w:style>
  <w:style w:type="character" w:customStyle="1" w:styleId="hps">
    <w:name w:val="hps"/>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En-tte">
    <w:name w:val="header"/>
    <w:basedOn w:val="Normal"/>
    <w:semiHidden/>
  </w:style>
  <w:style w:type="paragraph" w:styleId="Pieddepage">
    <w:name w:val="footer"/>
    <w:basedOn w:val="Normal"/>
    <w:uiPriority w:val="99"/>
  </w:style>
  <w:style w:type="paragraph" w:styleId="Textedebulles">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pPr>
    <w:rPr>
      <w:rFonts w:ascii="Arial" w:eastAsia="Times New Roman" w:hAnsi="Arial"/>
      <w:sz w:val="18"/>
    </w:rPr>
  </w:style>
  <w:style w:type="paragraph" w:customStyle="1" w:styleId="Titrecontact">
    <w:name w:val="Titre contact"/>
    <w:basedOn w:val="Textecontact0"/>
    <w:pPr>
      <w:spacing w:before="0" w:after="0"/>
      <w:ind w:left="0" w:right="0"/>
    </w:pPr>
    <w:rPr>
      <w:b/>
      <w:color w:val="000000"/>
    </w:rPr>
  </w:style>
  <w:style w:type="paragraph" w:styleId="Notedebasdepage">
    <w:name w:val="footnote text"/>
    <w:basedOn w:val="Normal"/>
    <w:link w:val="NotedebasdepageCar"/>
    <w:uiPriority w:val="99"/>
  </w:style>
  <w:style w:type="paragraph" w:customStyle="1" w:styleId="Textedesaisie">
    <w:name w:val="Texte de saisie"/>
    <w:basedOn w:val="Normal"/>
    <w:pPr>
      <w:spacing w:line="260" w:lineRule="atLeast"/>
    </w:pPr>
    <w:rPr>
      <w:rFonts w:ascii="Arial" w:eastAsia="Times New Roman" w:hAnsi="Ari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NormalWeb">
    <w:name w:val="Normal (Web)"/>
    <w:basedOn w:val="Normal"/>
    <w:uiPriority w:val="99"/>
    <w:pPr>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lang w:val="en-GB" w:eastAsia="en-GB"/>
    </w:rPr>
  </w:style>
  <w:style w:type="character" w:customStyle="1" w:styleId="Titre6Car">
    <w:name w:val="Titre 6 Car"/>
    <w:basedOn w:val="Policepardfaut"/>
    <w:link w:val="Titre6"/>
    <w:uiPriority w:val="9"/>
    <w:rsid w:val="00022DA0"/>
    <w:rPr>
      <w:smallCaps/>
      <w:color w:val="F79646" w:themeColor="accent6"/>
      <w:spacing w:val="5"/>
      <w:sz w:val="22"/>
      <w:szCs w:val="22"/>
    </w:rPr>
  </w:style>
  <w:style w:type="paragraph" w:styleId="Paragraphedeliste">
    <w:name w:val="List Paragraph"/>
    <w:basedOn w:val="Normal"/>
    <w:uiPriority w:val="34"/>
    <w:qFormat/>
    <w:rsid w:val="009C1C3B"/>
    <w:pPr>
      <w:ind w:left="720"/>
      <w:contextualSpacing/>
    </w:pPr>
  </w:style>
  <w:style w:type="character" w:styleId="Appelnotedebasdep">
    <w:name w:val="footnote reference"/>
    <w:uiPriority w:val="99"/>
    <w:semiHidden/>
    <w:unhideWhenUsed/>
    <w:rsid w:val="00D27875"/>
    <w:rPr>
      <w:vertAlign w:val="superscript"/>
      <w:lang w:val="en-GB" w:eastAsia="en-GB"/>
    </w:rPr>
  </w:style>
  <w:style w:type="character" w:styleId="Marquedecommentaire">
    <w:name w:val="annotation reference"/>
    <w:uiPriority w:val="99"/>
    <w:semiHidden/>
    <w:unhideWhenUsed/>
    <w:rsid w:val="005E6D3C"/>
    <w:rPr>
      <w:sz w:val="16"/>
      <w:szCs w:val="16"/>
      <w:lang w:val="en-GB" w:eastAsia="en-GB"/>
    </w:rPr>
  </w:style>
  <w:style w:type="paragraph" w:styleId="Commentaire">
    <w:name w:val="annotation text"/>
    <w:basedOn w:val="Normal"/>
    <w:link w:val="CommentaireCar"/>
    <w:uiPriority w:val="99"/>
    <w:semiHidden/>
    <w:unhideWhenUsed/>
    <w:rsid w:val="005E6D3C"/>
  </w:style>
  <w:style w:type="character" w:customStyle="1" w:styleId="CommentaireCar">
    <w:name w:val="Commentaire Car"/>
    <w:link w:val="Commentaire"/>
    <w:uiPriority w:val="99"/>
    <w:semiHidden/>
    <w:rsid w:val="005E6D3C"/>
    <w:rPr>
      <w:rFonts w:ascii="Cambria" w:eastAsia="MS Mincho" w:hAnsi="Cambria" w:cs="Cambria"/>
      <w:lang w:val="en-GB" w:eastAsia="en-GB"/>
    </w:rPr>
  </w:style>
  <w:style w:type="paragraph" w:styleId="Objetducommentaire">
    <w:name w:val="annotation subject"/>
    <w:basedOn w:val="Commentaire"/>
    <w:next w:val="Commentaire"/>
    <w:link w:val="ObjetducommentaireCar"/>
    <w:uiPriority w:val="99"/>
    <w:semiHidden/>
    <w:unhideWhenUsed/>
    <w:rsid w:val="005E6D3C"/>
    <w:rPr>
      <w:b/>
      <w:bCs/>
    </w:rPr>
  </w:style>
  <w:style w:type="character" w:customStyle="1" w:styleId="ObjetducommentaireCar">
    <w:name w:val="Objet du commentaire Car"/>
    <w:link w:val="Objetducommentaire"/>
    <w:uiPriority w:val="99"/>
    <w:semiHidden/>
    <w:rsid w:val="005E6D3C"/>
    <w:rPr>
      <w:rFonts w:ascii="Cambria" w:eastAsia="MS Mincho" w:hAnsi="Cambria" w:cs="Cambria"/>
      <w:b/>
      <w:bCs/>
      <w:lang w:val="en-GB" w:eastAsia="en-GB"/>
    </w:rPr>
  </w:style>
  <w:style w:type="paragraph" w:styleId="Rvision">
    <w:name w:val="Revision"/>
    <w:hidden/>
    <w:uiPriority w:val="99"/>
    <w:semiHidden/>
    <w:rsid w:val="005E6D3C"/>
    <w:rPr>
      <w:rFonts w:ascii="Cambria" w:eastAsia="MS Mincho" w:hAnsi="Cambria" w:cs="Cambria"/>
      <w:sz w:val="24"/>
      <w:szCs w:val="24"/>
      <w:lang w:val="en-GB" w:eastAsia="en-GB"/>
    </w:rPr>
  </w:style>
  <w:style w:type="character" w:customStyle="1" w:styleId="st">
    <w:name w:val="st"/>
    <w:rsid w:val="00E22E3D"/>
  </w:style>
  <w:style w:type="character" w:styleId="Accentuation">
    <w:name w:val="Emphasis"/>
    <w:uiPriority w:val="20"/>
    <w:qFormat/>
    <w:rsid w:val="00022DA0"/>
    <w:rPr>
      <w:b/>
      <w:bCs/>
      <w:i/>
      <w:iCs/>
      <w:spacing w:val="10"/>
    </w:rPr>
  </w:style>
  <w:style w:type="character" w:customStyle="1" w:styleId="Titre4Car">
    <w:name w:val="Titre 4 Car"/>
    <w:basedOn w:val="Policepardfaut"/>
    <w:link w:val="Titre4"/>
    <w:uiPriority w:val="9"/>
    <w:semiHidden/>
    <w:rsid w:val="00022DA0"/>
    <w:rPr>
      <w:i/>
      <w:iCs/>
      <w:smallCaps/>
      <w:spacing w:val="10"/>
      <w:sz w:val="22"/>
      <w:szCs w:val="22"/>
    </w:rPr>
  </w:style>
  <w:style w:type="character" w:customStyle="1" w:styleId="NotedebasdepageCar">
    <w:name w:val="Note de bas de page Car"/>
    <w:link w:val="Notedebasdepage"/>
    <w:uiPriority w:val="99"/>
    <w:rsid w:val="00866128"/>
    <w:rPr>
      <w:rFonts w:ascii="Cambria" w:eastAsia="MS Mincho" w:hAnsi="Cambria" w:cs="Cambria"/>
      <w:lang w:val="en-GB" w:eastAsia="en-GB"/>
    </w:rPr>
  </w:style>
  <w:style w:type="paragraph" w:styleId="PrformatHTML">
    <w:name w:val="HTML Preformatted"/>
    <w:basedOn w:val="Normal"/>
    <w:link w:val="PrformatHTMLCar"/>
    <w:uiPriority w:val="99"/>
    <w:semiHidden/>
    <w:unhideWhenUsed/>
    <w:rsid w:val="0033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fr-FR" w:eastAsia="fr-FR"/>
    </w:rPr>
  </w:style>
  <w:style w:type="character" w:customStyle="1" w:styleId="PrformatHTMLCar">
    <w:name w:val="Préformaté HTML Car"/>
    <w:basedOn w:val="Policepardfaut"/>
    <w:link w:val="PrformatHTML"/>
    <w:uiPriority w:val="99"/>
    <w:semiHidden/>
    <w:rsid w:val="00335C08"/>
    <w:rPr>
      <w:rFonts w:ascii="Courier New" w:hAnsi="Courier New" w:cs="Courier New"/>
      <w:lang w:val="fr-FR" w:eastAsia="fr-FR"/>
    </w:rPr>
  </w:style>
  <w:style w:type="paragraph" w:styleId="Notedefin">
    <w:name w:val="endnote text"/>
    <w:basedOn w:val="Normal"/>
    <w:link w:val="NotedefinCar"/>
    <w:uiPriority w:val="99"/>
    <w:semiHidden/>
    <w:unhideWhenUsed/>
    <w:rsid w:val="000A1B81"/>
  </w:style>
  <w:style w:type="character" w:customStyle="1" w:styleId="NotedefinCar">
    <w:name w:val="Note de fin Car"/>
    <w:basedOn w:val="Policepardfaut"/>
    <w:link w:val="Notedefin"/>
    <w:uiPriority w:val="99"/>
    <w:semiHidden/>
    <w:rsid w:val="000A1B81"/>
    <w:rPr>
      <w:rFonts w:ascii="Cambria" w:eastAsia="MS Mincho" w:hAnsi="Cambria" w:cs="Cambria"/>
      <w:lang w:val="en-GB" w:eastAsia="en-GB"/>
    </w:rPr>
  </w:style>
  <w:style w:type="character" w:styleId="Appeldenotedefin">
    <w:name w:val="endnote reference"/>
    <w:basedOn w:val="Policepardfaut"/>
    <w:uiPriority w:val="99"/>
    <w:semiHidden/>
    <w:unhideWhenUsed/>
    <w:rsid w:val="000A1B81"/>
    <w:rPr>
      <w:vertAlign w:val="superscript"/>
    </w:rPr>
  </w:style>
  <w:style w:type="character" w:customStyle="1" w:styleId="Titre1Car">
    <w:name w:val="Titre 1 Car"/>
    <w:basedOn w:val="Policepardfaut"/>
    <w:link w:val="Titre1"/>
    <w:uiPriority w:val="9"/>
    <w:rsid w:val="00022DA0"/>
    <w:rPr>
      <w:smallCaps/>
      <w:spacing w:val="5"/>
      <w:sz w:val="32"/>
      <w:szCs w:val="32"/>
    </w:rPr>
  </w:style>
  <w:style w:type="character" w:customStyle="1" w:styleId="Titre2Car">
    <w:name w:val="Titre 2 Car"/>
    <w:basedOn w:val="Policepardfaut"/>
    <w:link w:val="Titre2"/>
    <w:uiPriority w:val="9"/>
    <w:semiHidden/>
    <w:rsid w:val="00022DA0"/>
    <w:rPr>
      <w:smallCaps/>
      <w:spacing w:val="5"/>
      <w:sz w:val="28"/>
      <w:szCs w:val="28"/>
    </w:rPr>
  </w:style>
  <w:style w:type="character" w:customStyle="1" w:styleId="Titre3Car">
    <w:name w:val="Titre 3 Car"/>
    <w:basedOn w:val="Policepardfaut"/>
    <w:link w:val="Titre3"/>
    <w:uiPriority w:val="9"/>
    <w:rsid w:val="00022DA0"/>
    <w:rPr>
      <w:smallCaps/>
      <w:spacing w:val="5"/>
      <w:sz w:val="24"/>
      <w:szCs w:val="24"/>
    </w:rPr>
  </w:style>
  <w:style w:type="character" w:customStyle="1" w:styleId="Titre5Car">
    <w:name w:val="Titre 5 Car"/>
    <w:basedOn w:val="Policepardfaut"/>
    <w:link w:val="Titre5"/>
    <w:uiPriority w:val="9"/>
    <w:semiHidden/>
    <w:rsid w:val="00022DA0"/>
    <w:rPr>
      <w:smallCaps/>
      <w:color w:val="E36C0A" w:themeColor="accent6" w:themeShade="BF"/>
      <w:spacing w:val="10"/>
      <w:sz w:val="22"/>
      <w:szCs w:val="22"/>
    </w:rPr>
  </w:style>
  <w:style w:type="character" w:customStyle="1" w:styleId="Titre7Car">
    <w:name w:val="Titre 7 Car"/>
    <w:basedOn w:val="Policepardfaut"/>
    <w:link w:val="Titre7"/>
    <w:uiPriority w:val="9"/>
    <w:semiHidden/>
    <w:rsid w:val="00022DA0"/>
    <w:rPr>
      <w:b/>
      <w:bCs/>
      <w:smallCaps/>
      <w:color w:val="F79646" w:themeColor="accent6"/>
      <w:spacing w:val="10"/>
    </w:rPr>
  </w:style>
  <w:style w:type="character" w:customStyle="1" w:styleId="Titre8Car">
    <w:name w:val="Titre 8 Car"/>
    <w:basedOn w:val="Policepardfaut"/>
    <w:link w:val="Titre8"/>
    <w:uiPriority w:val="9"/>
    <w:semiHidden/>
    <w:rsid w:val="00022DA0"/>
    <w:rPr>
      <w:b/>
      <w:bCs/>
      <w:i/>
      <w:iCs/>
      <w:smallCaps/>
      <w:color w:val="E36C0A" w:themeColor="accent6" w:themeShade="BF"/>
    </w:rPr>
  </w:style>
  <w:style w:type="character" w:customStyle="1" w:styleId="Titre9Car">
    <w:name w:val="Titre 9 Car"/>
    <w:basedOn w:val="Policepardfaut"/>
    <w:link w:val="Titre9"/>
    <w:uiPriority w:val="9"/>
    <w:semiHidden/>
    <w:rsid w:val="00022DA0"/>
    <w:rPr>
      <w:b/>
      <w:bCs/>
      <w:i/>
      <w:iCs/>
      <w:smallCaps/>
      <w:color w:val="984806" w:themeColor="accent6" w:themeShade="80"/>
    </w:rPr>
  </w:style>
  <w:style w:type="paragraph" w:styleId="Lgende">
    <w:name w:val="caption"/>
    <w:basedOn w:val="Normal"/>
    <w:next w:val="Normal"/>
    <w:uiPriority w:val="35"/>
    <w:semiHidden/>
    <w:unhideWhenUsed/>
    <w:qFormat/>
    <w:rsid w:val="00022DA0"/>
    <w:rPr>
      <w:b/>
      <w:bCs/>
      <w:caps/>
      <w:sz w:val="16"/>
      <w:szCs w:val="16"/>
    </w:rPr>
  </w:style>
  <w:style w:type="paragraph" w:styleId="Titre">
    <w:name w:val="Title"/>
    <w:basedOn w:val="Normal"/>
    <w:next w:val="Normal"/>
    <w:link w:val="TitreCar"/>
    <w:uiPriority w:val="10"/>
    <w:qFormat/>
    <w:rsid w:val="00022DA0"/>
    <w:pPr>
      <w:pBdr>
        <w:top w:val="single" w:sz="8" w:space="1" w:color="F79646" w:themeColor="accent6"/>
      </w:pBdr>
      <w:spacing w:after="120" w:line="240" w:lineRule="auto"/>
      <w:jc w:val="right"/>
    </w:pPr>
    <w:rPr>
      <w:smallCaps/>
      <w:color w:val="05579A" w:themeColor="text1" w:themeTint="D9"/>
      <w:sz w:val="52"/>
      <w:szCs w:val="52"/>
    </w:rPr>
  </w:style>
  <w:style w:type="character" w:customStyle="1" w:styleId="TitreCar">
    <w:name w:val="Titre Car"/>
    <w:basedOn w:val="Policepardfaut"/>
    <w:link w:val="Titre"/>
    <w:uiPriority w:val="10"/>
    <w:rsid w:val="00022DA0"/>
    <w:rPr>
      <w:smallCaps/>
      <w:color w:val="05579A" w:themeColor="text1" w:themeTint="D9"/>
      <w:sz w:val="52"/>
      <w:szCs w:val="52"/>
    </w:rPr>
  </w:style>
  <w:style w:type="paragraph" w:styleId="Sous-titre">
    <w:name w:val="Subtitle"/>
    <w:basedOn w:val="Normal"/>
    <w:next w:val="Normal"/>
    <w:link w:val="Sous-titreCar"/>
    <w:uiPriority w:val="11"/>
    <w:qFormat/>
    <w:rsid w:val="00022DA0"/>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022DA0"/>
    <w:rPr>
      <w:rFonts w:asciiTheme="majorHAnsi" w:eastAsiaTheme="majorEastAsia" w:hAnsiTheme="majorHAnsi" w:cstheme="majorBidi"/>
    </w:rPr>
  </w:style>
  <w:style w:type="paragraph" w:styleId="Sansinterligne">
    <w:name w:val="No Spacing"/>
    <w:uiPriority w:val="1"/>
    <w:qFormat/>
    <w:rsid w:val="00022DA0"/>
    <w:pPr>
      <w:spacing w:after="0" w:line="240" w:lineRule="auto"/>
    </w:pPr>
  </w:style>
  <w:style w:type="paragraph" w:styleId="Citation">
    <w:name w:val="Quote"/>
    <w:basedOn w:val="Normal"/>
    <w:next w:val="Normal"/>
    <w:link w:val="CitationCar"/>
    <w:uiPriority w:val="29"/>
    <w:qFormat/>
    <w:rsid w:val="00022DA0"/>
    <w:rPr>
      <w:i/>
      <w:iCs/>
    </w:rPr>
  </w:style>
  <w:style w:type="character" w:customStyle="1" w:styleId="CitationCar">
    <w:name w:val="Citation Car"/>
    <w:basedOn w:val="Policepardfaut"/>
    <w:link w:val="Citation"/>
    <w:uiPriority w:val="29"/>
    <w:rsid w:val="00022DA0"/>
    <w:rPr>
      <w:i/>
      <w:iCs/>
    </w:rPr>
  </w:style>
  <w:style w:type="paragraph" w:styleId="Citationintense">
    <w:name w:val="Intense Quote"/>
    <w:basedOn w:val="Normal"/>
    <w:next w:val="Normal"/>
    <w:link w:val="CitationintenseCar"/>
    <w:uiPriority w:val="30"/>
    <w:qFormat/>
    <w:rsid w:val="00022DA0"/>
    <w:pPr>
      <w:pBdr>
        <w:top w:val="single" w:sz="8" w:space="1" w:color="F79646"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022DA0"/>
    <w:rPr>
      <w:b/>
      <w:bCs/>
      <w:i/>
      <w:iCs/>
    </w:rPr>
  </w:style>
  <w:style w:type="character" w:styleId="Emphaseple">
    <w:name w:val="Subtle Emphasis"/>
    <w:uiPriority w:val="19"/>
    <w:qFormat/>
    <w:rsid w:val="00022DA0"/>
    <w:rPr>
      <w:i/>
      <w:iCs/>
    </w:rPr>
  </w:style>
  <w:style w:type="character" w:styleId="Emphaseintense">
    <w:name w:val="Intense Emphasis"/>
    <w:uiPriority w:val="21"/>
    <w:qFormat/>
    <w:rsid w:val="00022DA0"/>
    <w:rPr>
      <w:b/>
      <w:bCs/>
      <w:i/>
      <w:iCs/>
      <w:color w:val="F79646" w:themeColor="accent6"/>
      <w:spacing w:val="10"/>
    </w:rPr>
  </w:style>
  <w:style w:type="character" w:styleId="Rfrenceple">
    <w:name w:val="Subtle Reference"/>
    <w:uiPriority w:val="31"/>
    <w:qFormat/>
    <w:rsid w:val="00022DA0"/>
    <w:rPr>
      <w:b/>
      <w:bCs/>
    </w:rPr>
  </w:style>
  <w:style w:type="character" w:styleId="Rfrenceintense">
    <w:name w:val="Intense Reference"/>
    <w:uiPriority w:val="32"/>
    <w:qFormat/>
    <w:rsid w:val="00022DA0"/>
    <w:rPr>
      <w:b/>
      <w:bCs/>
      <w:smallCaps/>
      <w:spacing w:val="5"/>
      <w:sz w:val="22"/>
      <w:szCs w:val="22"/>
      <w:u w:val="single"/>
    </w:rPr>
  </w:style>
  <w:style w:type="character" w:styleId="Titredulivre">
    <w:name w:val="Book Title"/>
    <w:uiPriority w:val="33"/>
    <w:qFormat/>
    <w:rsid w:val="00022DA0"/>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022D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12">
      <w:bodyDiv w:val="1"/>
      <w:marLeft w:val="0"/>
      <w:marRight w:val="0"/>
      <w:marTop w:val="0"/>
      <w:marBottom w:val="0"/>
      <w:divBdr>
        <w:top w:val="none" w:sz="0" w:space="0" w:color="auto"/>
        <w:left w:val="none" w:sz="0" w:space="0" w:color="auto"/>
        <w:bottom w:val="none" w:sz="0" w:space="0" w:color="auto"/>
        <w:right w:val="none" w:sz="0" w:space="0" w:color="auto"/>
      </w:divBdr>
    </w:div>
    <w:div w:id="72095191">
      <w:bodyDiv w:val="1"/>
      <w:marLeft w:val="0"/>
      <w:marRight w:val="0"/>
      <w:marTop w:val="0"/>
      <w:marBottom w:val="0"/>
      <w:divBdr>
        <w:top w:val="none" w:sz="0" w:space="0" w:color="auto"/>
        <w:left w:val="none" w:sz="0" w:space="0" w:color="auto"/>
        <w:bottom w:val="none" w:sz="0" w:space="0" w:color="auto"/>
        <w:right w:val="none" w:sz="0" w:space="0" w:color="auto"/>
      </w:divBdr>
    </w:div>
    <w:div w:id="73095219">
      <w:bodyDiv w:val="1"/>
      <w:marLeft w:val="0"/>
      <w:marRight w:val="0"/>
      <w:marTop w:val="0"/>
      <w:marBottom w:val="0"/>
      <w:divBdr>
        <w:top w:val="none" w:sz="0" w:space="0" w:color="auto"/>
        <w:left w:val="none" w:sz="0" w:space="0" w:color="auto"/>
        <w:bottom w:val="none" w:sz="0" w:space="0" w:color="auto"/>
        <w:right w:val="none" w:sz="0" w:space="0" w:color="auto"/>
      </w:divBdr>
    </w:div>
    <w:div w:id="92552953">
      <w:bodyDiv w:val="1"/>
      <w:marLeft w:val="0"/>
      <w:marRight w:val="0"/>
      <w:marTop w:val="0"/>
      <w:marBottom w:val="0"/>
      <w:divBdr>
        <w:top w:val="none" w:sz="0" w:space="0" w:color="auto"/>
        <w:left w:val="none" w:sz="0" w:space="0" w:color="auto"/>
        <w:bottom w:val="none" w:sz="0" w:space="0" w:color="auto"/>
        <w:right w:val="none" w:sz="0" w:space="0" w:color="auto"/>
      </w:divBdr>
    </w:div>
    <w:div w:id="104270937">
      <w:bodyDiv w:val="1"/>
      <w:marLeft w:val="0"/>
      <w:marRight w:val="0"/>
      <w:marTop w:val="0"/>
      <w:marBottom w:val="0"/>
      <w:divBdr>
        <w:top w:val="none" w:sz="0" w:space="0" w:color="auto"/>
        <w:left w:val="none" w:sz="0" w:space="0" w:color="auto"/>
        <w:bottom w:val="none" w:sz="0" w:space="0" w:color="auto"/>
        <w:right w:val="none" w:sz="0" w:space="0" w:color="auto"/>
      </w:divBdr>
    </w:div>
    <w:div w:id="116797022">
      <w:bodyDiv w:val="1"/>
      <w:marLeft w:val="0"/>
      <w:marRight w:val="0"/>
      <w:marTop w:val="0"/>
      <w:marBottom w:val="0"/>
      <w:divBdr>
        <w:top w:val="none" w:sz="0" w:space="0" w:color="auto"/>
        <w:left w:val="none" w:sz="0" w:space="0" w:color="auto"/>
        <w:bottom w:val="none" w:sz="0" w:space="0" w:color="auto"/>
        <w:right w:val="none" w:sz="0" w:space="0" w:color="auto"/>
      </w:divBdr>
    </w:div>
    <w:div w:id="138423532">
      <w:bodyDiv w:val="1"/>
      <w:marLeft w:val="0"/>
      <w:marRight w:val="0"/>
      <w:marTop w:val="0"/>
      <w:marBottom w:val="0"/>
      <w:divBdr>
        <w:top w:val="none" w:sz="0" w:space="0" w:color="auto"/>
        <w:left w:val="none" w:sz="0" w:space="0" w:color="auto"/>
        <w:bottom w:val="none" w:sz="0" w:space="0" w:color="auto"/>
        <w:right w:val="none" w:sz="0" w:space="0" w:color="auto"/>
      </w:divBdr>
    </w:div>
    <w:div w:id="138763454">
      <w:bodyDiv w:val="1"/>
      <w:marLeft w:val="0"/>
      <w:marRight w:val="0"/>
      <w:marTop w:val="0"/>
      <w:marBottom w:val="0"/>
      <w:divBdr>
        <w:top w:val="none" w:sz="0" w:space="0" w:color="auto"/>
        <w:left w:val="none" w:sz="0" w:space="0" w:color="auto"/>
        <w:bottom w:val="none" w:sz="0" w:space="0" w:color="auto"/>
        <w:right w:val="none" w:sz="0" w:space="0" w:color="auto"/>
      </w:divBdr>
    </w:div>
    <w:div w:id="143281099">
      <w:bodyDiv w:val="1"/>
      <w:marLeft w:val="0"/>
      <w:marRight w:val="0"/>
      <w:marTop w:val="0"/>
      <w:marBottom w:val="0"/>
      <w:divBdr>
        <w:top w:val="none" w:sz="0" w:space="0" w:color="auto"/>
        <w:left w:val="none" w:sz="0" w:space="0" w:color="auto"/>
        <w:bottom w:val="none" w:sz="0" w:space="0" w:color="auto"/>
        <w:right w:val="none" w:sz="0" w:space="0" w:color="auto"/>
      </w:divBdr>
    </w:div>
    <w:div w:id="193155319">
      <w:bodyDiv w:val="1"/>
      <w:marLeft w:val="0"/>
      <w:marRight w:val="0"/>
      <w:marTop w:val="0"/>
      <w:marBottom w:val="0"/>
      <w:divBdr>
        <w:top w:val="none" w:sz="0" w:space="0" w:color="auto"/>
        <w:left w:val="none" w:sz="0" w:space="0" w:color="auto"/>
        <w:bottom w:val="none" w:sz="0" w:space="0" w:color="auto"/>
        <w:right w:val="none" w:sz="0" w:space="0" w:color="auto"/>
      </w:divBdr>
    </w:div>
    <w:div w:id="210459084">
      <w:bodyDiv w:val="1"/>
      <w:marLeft w:val="0"/>
      <w:marRight w:val="0"/>
      <w:marTop w:val="0"/>
      <w:marBottom w:val="0"/>
      <w:divBdr>
        <w:top w:val="none" w:sz="0" w:space="0" w:color="auto"/>
        <w:left w:val="none" w:sz="0" w:space="0" w:color="auto"/>
        <w:bottom w:val="none" w:sz="0" w:space="0" w:color="auto"/>
        <w:right w:val="none" w:sz="0" w:space="0" w:color="auto"/>
      </w:divBdr>
    </w:div>
    <w:div w:id="232931512">
      <w:bodyDiv w:val="1"/>
      <w:marLeft w:val="0"/>
      <w:marRight w:val="0"/>
      <w:marTop w:val="0"/>
      <w:marBottom w:val="0"/>
      <w:divBdr>
        <w:top w:val="none" w:sz="0" w:space="0" w:color="auto"/>
        <w:left w:val="none" w:sz="0" w:space="0" w:color="auto"/>
        <w:bottom w:val="none" w:sz="0" w:space="0" w:color="auto"/>
        <w:right w:val="none" w:sz="0" w:space="0" w:color="auto"/>
      </w:divBdr>
    </w:div>
    <w:div w:id="255335112">
      <w:bodyDiv w:val="1"/>
      <w:marLeft w:val="0"/>
      <w:marRight w:val="0"/>
      <w:marTop w:val="0"/>
      <w:marBottom w:val="0"/>
      <w:divBdr>
        <w:top w:val="none" w:sz="0" w:space="0" w:color="auto"/>
        <w:left w:val="none" w:sz="0" w:space="0" w:color="auto"/>
        <w:bottom w:val="none" w:sz="0" w:space="0" w:color="auto"/>
        <w:right w:val="none" w:sz="0" w:space="0" w:color="auto"/>
      </w:divBdr>
      <w:divsChild>
        <w:div w:id="208691023">
          <w:marLeft w:val="360"/>
          <w:marRight w:val="0"/>
          <w:marTop w:val="0"/>
          <w:marBottom w:val="0"/>
          <w:divBdr>
            <w:top w:val="none" w:sz="0" w:space="0" w:color="auto"/>
            <w:left w:val="none" w:sz="0" w:space="0" w:color="auto"/>
            <w:bottom w:val="none" w:sz="0" w:space="0" w:color="auto"/>
            <w:right w:val="none" w:sz="0" w:space="0" w:color="auto"/>
          </w:divBdr>
        </w:div>
      </w:divsChild>
    </w:div>
    <w:div w:id="261762352">
      <w:bodyDiv w:val="1"/>
      <w:marLeft w:val="0"/>
      <w:marRight w:val="0"/>
      <w:marTop w:val="0"/>
      <w:marBottom w:val="0"/>
      <w:divBdr>
        <w:top w:val="none" w:sz="0" w:space="0" w:color="auto"/>
        <w:left w:val="none" w:sz="0" w:space="0" w:color="auto"/>
        <w:bottom w:val="none" w:sz="0" w:space="0" w:color="auto"/>
        <w:right w:val="none" w:sz="0" w:space="0" w:color="auto"/>
      </w:divBdr>
    </w:div>
    <w:div w:id="287786327">
      <w:bodyDiv w:val="1"/>
      <w:marLeft w:val="0"/>
      <w:marRight w:val="0"/>
      <w:marTop w:val="0"/>
      <w:marBottom w:val="0"/>
      <w:divBdr>
        <w:top w:val="none" w:sz="0" w:space="0" w:color="auto"/>
        <w:left w:val="none" w:sz="0" w:space="0" w:color="auto"/>
        <w:bottom w:val="none" w:sz="0" w:space="0" w:color="auto"/>
        <w:right w:val="none" w:sz="0" w:space="0" w:color="auto"/>
      </w:divBdr>
    </w:div>
    <w:div w:id="305935243">
      <w:bodyDiv w:val="1"/>
      <w:marLeft w:val="0"/>
      <w:marRight w:val="0"/>
      <w:marTop w:val="0"/>
      <w:marBottom w:val="0"/>
      <w:divBdr>
        <w:top w:val="none" w:sz="0" w:space="0" w:color="auto"/>
        <w:left w:val="none" w:sz="0" w:space="0" w:color="auto"/>
        <w:bottom w:val="none" w:sz="0" w:space="0" w:color="auto"/>
        <w:right w:val="none" w:sz="0" w:space="0" w:color="auto"/>
      </w:divBdr>
    </w:div>
    <w:div w:id="317418762">
      <w:bodyDiv w:val="1"/>
      <w:marLeft w:val="0"/>
      <w:marRight w:val="0"/>
      <w:marTop w:val="0"/>
      <w:marBottom w:val="0"/>
      <w:divBdr>
        <w:top w:val="none" w:sz="0" w:space="0" w:color="auto"/>
        <w:left w:val="none" w:sz="0" w:space="0" w:color="auto"/>
        <w:bottom w:val="none" w:sz="0" w:space="0" w:color="auto"/>
        <w:right w:val="none" w:sz="0" w:space="0" w:color="auto"/>
      </w:divBdr>
    </w:div>
    <w:div w:id="327681279">
      <w:bodyDiv w:val="1"/>
      <w:marLeft w:val="0"/>
      <w:marRight w:val="0"/>
      <w:marTop w:val="0"/>
      <w:marBottom w:val="0"/>
      <w:divBdr>
        <w:top w:val="none" w:sz="0" w:space="0" w:color="auto"/>
        <w:left w:val="none" w:sz="0" w:space="0" w:color="auto"/>
        <w:bottom w:val="none" w:sz="0" w:space="0" w:color="auto"/>
        <w:right w:val="none" w:sz="0" w:space="0" w:color="auto"/>
      </w:divBdr>
    </w:div>
    <w:div w:id="352649801">
      <w:bodyDiv w:val="1"/>
      <w:marLeft w:val="0"/>
      <w:marRight w:val="0"/>
      <w:marTop w:val="0"/>
      <w:marBottom w:val="0"/>
      <w:divBdr>
        <w:top w:val="none" w:sz="0" w:space="0" w:color="auto"/>
        <w:left w:val="none" w:sz="0" w:space="0" w:color="auto"/>
        <w:bottom w:val="none" w:sz="0" w:space="0" w:color="auto"/>
        <w:right w:val="none" w:sz="0" w:space="0" w:color="auto"/>
      </w:divBdr>
    </w:div>
    <w:div w:id="367267547">
      <w:bodyDiv w:val="1"/>
      <w:marLeft w:val="0"/>
      <w:marRight w:val="0"/>
      <w:marTop w:val="0"/>
      <w:marBottom w:val="0"/>
      <w:divBdr>
        <w:top w:val="none" w:sz="0" w:space="0" w:color="auto"/>
        <w:left w:val="none" w:sz="0" w:space="0" w:color="auto"/>
        <w:bottom w:val="none" w:sz="0" w:space="0" w:color="auto"/>
        <w:right w:val="none" w:sz="0" w:space="0" w:color="auto"/>
      </w:divBdr>
    </w:div>
    <w:div w:id="371539034">
      <w:bodyDiv w:val="1"/>
      <w:marLeft w:val="0"/>
      <w:marRight w:val="0"/>
      <w:marTop w:val="0"/>
      <w:marBottom w:val="0"/>
      <w:divBdr>
        <w:top w:val="none" w:sz="0" w:space="0" w:color="auto"/>
        <w:left w:val="none" w:sz="0" w:space="0" w:color="auto"/>
        <w:bottom w:val="none" w:sz="0" w:space="0" w:color="auto"/>
        <w:right w:val="none" w:sz="0" w:space="0" w:color="auto"/>
      </w:divBdr>
    </w:div>
    <w:div w:id="406925687">
      <w:bodyDiv w:val="1"/>
      <w:marLeft w:val="0"/>
      <w:marRight w:val="0"/>
      <w:marTop w:val="0"/>
      <w:marBottom w:val="0"/>
      <w:divBdr>
        <w:top w:val="none" w:sz="0" w:space="0" w:color="auto"/>
        <w:left w:val="none" w:sz="0" w:space="0" w:color="auto"/>
        <w:bottom w:val="none" w:sz="0" w:space="0" w:color="auto"/>
        <w:right w:val="none" w:sz="0" w:space="0" w:color="auto"/>
      </w:divBdr>
    </w:div>
    <w:div w:id="410734951">
      <w:bodyDiv w:val="1"/>
      <w:marLeft w:val="0"/>
      <w:marRight w:val="0"/>
      <w:marTop w:val="0"/>
      <w:marBottom w:val="0"/>
      <w:divBdr>
        <w:top w:val="none" w:sz="0" w:space="0" w:color="auto"/>
        <w:left w:val="none" w:sz="0" w:space="0" w:color="auto"/>
        <w:bottom w:val="none" w:sz="0" w:space="0" w:color="auto"/>
        <w:right w:val="none" w:sz="0" w:space="0" w:color="auto"/>
      </w:divBdr>
    </w:div>
    <w:div w:id="434637151">
      <w:bodyDiv w:val="1"/>
      <w:marLeft w:val="0"/>
      <w:marRight w:val="0"/>
      <w:marTop w:val="0"/>
      <w:marBottom w:val="0"/>
      <w:divBdr>
        <w:top w:val="none" w:sz="0" w:space="0" w:color="auto"/>
        <w:left w:val="none" w:sz="0" w:space="0" w:color="auto"/>
        <w:bottom w:val="none" w:sz="0" w:space="0" w:color="auto"/>
        <w:right w:val="none" w:sz="0" w:space="0" w:color="auto"/>
      </w:divBdr>
    </w:div>
    <w:div w:id="449321421">
      <w:bodyDiv w:val="1"/>
      <w:marLeft w:val="0"/>
      <w:marRight w:val="0"/>
      <w:marTop w:val="0"/>
      <w:marBottom w:val="0"/>
      <w:divBdr>
        <w:top w:val="none" w:sz="0" w:space="0" w:color="auto"/>
        <w:left w:val="none" w:sz="0" w:space="0" w:color="auto"/>
        <w:bottom w:val="none" w:sz="0" w:space="0" w:color="auto"/>
        <w:right w:val="none" w:sz="0" w:space="0" w:color="auto"/>
      </w:divBdr>
    </w:div>
    <w:div w:id="451556866">
      <w:bodyDiv w:val="1"/>
      <w:marLeft w:val="0"/>
      <w:marRight w:val="0"/>
      <w:marTop w:val="0"/>
      <w:marBottom w:val="0"/>
      <w:divBdr>
        <w:top w:val="none" w:sz="0" w:space="0" w:color="auto"/>
        <w:left w:val="none" w:sz="0" w:space="0" w:color="auto"/>
        <w:bottom w:val="none" w:sz="0" w:space="0" w:color="auto"/>
        <w:right w:val="none" w:sz="0" w:space="0" w:color="auto"/>
      </w:divBdr>
    </w:div>
    <w:div w:id="456991395">
      <w:bodyDiv w:val="1"/>
      <w:marLeft w:val="0"/>
      <w:marRight w:val="0"/>
      <w:marTop w:val="0"/>
      <w:marBottom w:val="0"/>
      <w:divBdr>
        <w:top w:val="none" w:sz="0" w:space="0" w:color="auto"/>
        <w:left w:val="none" w:sz="0" w:space="0" w:color="auto"/>
        <w:bottom w:val="none" w:sz="0" w:space="0" w:color="auto"/>
        <w:right w:val="none" w:sz="0" w:space="0" w:color="auto"/>
      </w:divBdr>
      <w:divsChild>
        <w:div w:id="678238681">
          <w:marLeft w:val="0"/>
          <w:marRight w:val="0"/>
          <w:marTop w:val="0"/>
          <w:marBottom w:val="0"/>
          <w:divBdr>
            <w:top w:val="none" w:sz="0" w:space="0" w:color="auto"/>
            <w:left w:val="none" w:sz="0" w:space="0" w:color="auto"/>
            <w:bottom w:val="none" w:sz="0" w:space="0" w:color="auto"/>
            <w:right w:val="none" w:sz="0" w:space="0" w:color="auto"/>
          </w:divBdr>
          <w:divsChild>
            <w:div w:id="945969386">
              <w:marLeft w:val="0"/>
              <w:marRight w:val="0"/>
              <w:marTop w:val="0"/>
              <w:marBottom w:val="0"/>
              <w:divBdr>
                <w:top w:val="none" w:sz="0" w:space="0" w:color="auto"/>
                <w:left w:val="none" w:sz="0" w:space="0" w:color="auto"/>
                <w:bottom w:val="none" w:sz="0" w:space="0" w:color="auto"/>
                <w:right w:val="none" w:sz="0" w:space="0" w:color="auto"/>
              </w:divBdr>
              <w:divsChild>
                <w:div w:id="8085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5786">
      <w:bodyDiv w:val="1"/>
      <w:marLeft w:val="0"/>
      <w:marRight w:val="0"/>
      <w:marTop w:val="0"/>
      <w:marBottom w:val="0"/>
      <w:divBdr>
        <w:top w:val="none" w:sz="0" w:space="0" w:color="auto"/>
        <w:left w:val="none" w:sz="0" w:space="0" w:color="auto"/>
        <w:bottom w:val="none" w:sz="0" w:space="0" w:color="auto"/>
        <w:right w:val="none" w:sz="0" w:space="0" w:color="auto"/>
      </w:divBdr>
    </w:div>
    <w:div w:id="471675612">
      <w:bodyDiv w:val="1"/>
      <w:marLeft w:val="0"/>
      <w:marRight w:val="0"/>
      <w:marTop w:val="0"/>
      <w:marBottom w:val="0"/>
      <w:divBdr>
        <w:top w:val="none" w:sz="0" w:space="0" w:color="auto"/>
        <w:left w:val="none" w:sz="0" w:space="0" w:color="auto"/>
        <w:bottom w:val="none" w:sz="0" w:space="0" w:color="auto"/>
        <w:right w:val="none" w:sz="0" w:space="0" w:color="auto"/>
      </w:divBdr>
    </w:div>
    <w:div w:id="476922266">
      <w:bodyDiv w:val="1"/>
      <w:marLeft w:val="0"/>
      <w:marRight w:val="0"/>
      <w:marTop w:val="0"/>
      <w:marBottom w:val="0"/>
      <w:divBdr>
        <w:top w:val="none" w:sz="0" w:space="0" w:color="auto"/>
        <w:left w:val="none" w:sz="0" w:space="0" w:color="auto"/>
        <w:bottom w:val="none" w:sz="0" w:space="0" w:color="auto"/>
        <w:right w:val="none" w:sz="0" w:space="0" w:color="auto"/>
      </w:divBdr>
    </w:div>
    <w:div w:id="495540873">
      <w:bodyDiv w:val="1"/>
      <w:marLeft w:val="0"/>
      <w:marRight w:val="0"/>
      <w:marTop w:val="0"/>
      <w:marBottom w:val="0"/>
      <w:divBdr>
        <w:top w:val="none" w:sz="0" w:space="0" w:color="auto"/>
        <w:left w:val="none" w:sz="0" w:space="0" w:color="auto"/>
        <w:bottom w:val="none" w:sz="0" w:space="0" w:color="auto"/>
        <w:right w:val="none" w:sz="0" w:space="0" w:color="auto"/>
      </w:divBdr>
    </w:div>
    <w:div w:id="499079298">
      <w:bodyDiv w:val="1"/>
      <w:marLeft w:val="0"/>
      <w:marRight w:val="0"/>
      <w:marTop w:val="0"/>
      <w:marBottom w:val="0"/>
      <w:divBdr>
        <w:top w:val="none" w:sz="0" w:space="0" w:color="auto"/>
        <w:left w:val="none" w:sz="0" w:space="0" w:color="auto"/>
        <w:bottom w:val="none" w:sz="0" w:space="0" w:color="auto"/>
        <w:right w:val="none" w:sz="0" w:space="0" w:color="auto"/>
      </w:divBdr>
    </w:div>
    <w:div w:id="514656225">
      <w:bodyDiv w:val="1"/>
      <w:marLeft w:val="0"/>
      <w:marRight w:val="0"/>
      <w:marTop w:val="0"/>
      <w:marBottom w:val="0"/>
      <w:divBdr>
        <w:top w:val="none" w:sz="0" w:space="0" w:color="auto"/>
        <w:left w:val="none" w:sz="0" w:space="0" w:color="auto"/>
        <w:bottom w:val="none" w:sz="0" w:space="0" w:color="auto"/>
        <w:right w:val="none" w:sz="0" w:space="0" w:color="auto"/>
      </w:divBdr>
    </w:div>
    <w:div w:id="544562278">
      <w:bodyDiv w:val="1"/>
      <w:marLeft w:val="0"/>
      <w:marRight w:val="0"/>
      <w:marTop w:val="0"/>
      <w:marBottom w:val="0"/>
      <w:divBdr>
        <w:top w:val="none" w:sz="0" w:space="0" w:color="auto"/>
        <w:left w:val="none" w:sz="0" w:space="0" w:color="auto"/>
        <w:bottom w:val="none" w:sz="0" w:space="0" w:color="auto"/>
        <w:right w:val="none" w:sz="0" w:space="0" w:color="auto"/>
      </w:divBdr>
    </w:div>
    <w:div w:id="544752372">
      <w:bodyDiv w:val="1"/>
      <w:marLeft w:val="0"/>
      <w:marRight w:val="0"/>
      <w:marTop w:val="0"/>
      <w:marBottom w:val="0"/>
      <w:divBdr>
        <w:top w:val="none" w:sz="0" w:space="0" w:color="auto"/>
        <w:left w:val="none" w:sz="0" w:space="0" w:color="auto"/>
        <w:bottom w:val="none" w:sz="0" w:space="0" w:color="auto"/>
        <w:right w:val="none" w:sz="0" w:space="0" w:color="auto"/>
      </w:divBdr>
    </w:div>
    <w:div w:id="567961456">
      <w:bodyDiv w:val="1"/>
      <w:marLeft w:val="0"/>
      <w:marRight w:val="0"/>
      <w:marTop w:val="0"/>
      <w:marBottom w:val="0"/>
      <w:divBdr>
        <w:top w:val="none" w:sz="0" w:space="0" w:color="auto"/>
        <w:left w:val="none" w:sz="0" w:space="0" w:color="auto"/>
        <w:bottom w:val="none" w:sz="0" w:space="0" w:color="auto"/>
        <w:right w:val="none" w:sz="0" w:space="0" w:color="auto"/>
      </w:divBdr>
    </w:div>
    <w:div w:id="591084269">
      <w:bodyDiv w:val="1"/>
      <w:marLeft w:val="0"/>
      <w:marRight w:val="0"/>
      <w:marTop w:val="0"/>
      <w:marBottom w:val="0"/>
      <w:divBdr>
        <w:top w:val="none" w:sz="0" w:space="0" w:color="auto"/>
        <w:left w:val="none" w:sz="0" w:space="0" w:color="auto"/>
        <w:bottom w:val="none" w:sz="0" w:space="0" w:color="auto"/>
        <w:right w:val="none" w:sz="0" w:space="0" w:color="auto"/>
      </w:divBdr>
    </w:div>
    <w:div w:id="592010244">
      <w:bodyDiv w:val="1"/>
      <w:marLeft w:val="0"/>
      <w:marRight w:val="0"/>
      <w:marTop w:val="0"/>
      <w:marBottom w:val="0"/>
      <w:divBdr>
        <w:top w:val="none" w:sz="0" w:space="0" w:color="auto"/>
        <w:left w:val="none" w:sz="0" w:space="0" w:color="auto"/>
        <w:bottom w:val="none" w:sz="0" w:space="0" w:color="auto"/>
        <w:right w:val="none" w:sz="0" w:space="0" w:color="auto"/>
      </w:divBdr>
    </w:div>
    <w:div w:id="620573536">
      <w:bodyDiv w:val="1"/>
      <w:marLeft w:val="0"/>
      <w:marRight w:val="0"/>
      <w:marTop w:val="0"/>
      <w:marBottom w:val="0"/>
      <w:divBdr>
        <w:top w:val="none" w:sz="0" w:space="0" w:color="auto"/>
        <w:left w:val="none" w:sz="0" w:space="0" w:color="auto"/>
        <w:bottom w:val="none" w:sz="0" w:space="0" w:color="auto"/>
        <w:right w:val="none" w:sz="0" w:space="0" w:color="auto"/>
      </w:divBdr>
    </w:div>
    <w:div w:id="630482694">
      <w:bodyDiv w:val="1"/>
      <w:marLeft w:val="0"/>
      <w:marRight w:val="0"/>
      <w:marTop w:val="0"/>
      <w:marBottom w:val="0"/>
      <w:divBdr>
        <w:top w:val="none" w:sz="0" w:space="0" w:color="auto"/>
        <w:left w:val="none" w:sz="0" w:space="0" w:color="auto"/>
        <w:bottom w:val="none" w:sz="0" w:space="0" w:color="auto"/>
        <w:right w:val="none" w:sz="0" w:space="0" w:color="auto"/>
      </w:divBdr>
    </w:div>
    <w:div w:id="649751217">
      <w:bodyDiv w:val="1"/>
      <w:marLeft w:val="0"/>
      <w:marRight w:val="0"/>
      <w:marTop w:val="0"/>
      <w:marBottom w:val="0"/>
      <w:divBdr>
        <w:top w:val="none" w:sz="0" w:space="0" w:color="auto"/>
        <w:left w:val="none" w:sz="0" w:space="0" w:color="auto"/>
        <w:bottom w:val="none" w:sz="0" w:space="0" w:color="auto"/>
        <w:right w:val="none" w:sz="0" w:space="0" w:color="auto"/>
      </w:divBdr>
    </w:div>
    <w:div w:id="651565248">
      <w:bodyDiv w:val="1"/>
      <w:marLeft w:val="0"/>
      <w:marRight w:val="0"/>
      <w:marTop w:val="0"/>
      <w:marBottom w:val="0"/>
      <w:divBdr>
        <w:top w:val="none" w:sz="0" w:space="0" w:color="auto"/>
        <w:left w:val="none" w:sz="0" w:space="0" w:color="auto"/>
        <w:bottom w:val="none" w:sz="0" w:space="0" w:color="auto"/>
        <w:right w:val="none" w:sz="0" w:space="0" w:color="auto"/>
      </w:divBdr>
    </w:div>
    <w:div w:id="679241736">
      <w:bodyDiv w:val="1"/>
      <w:marLeft w:val="0"/>
      <w:marRight w:val="0"/>
      <w:marTop w:val="0"/>
      <w:marBottom w:val="0"/>
      <w:divBdr>
        <w:top w:val="none" w:sz="0" w:space="0" w:color="auto"/>
        <w:left w:val="none" w:sz="0" w:space="0" w:color="auto"/>
        <w:bottom w:val="none" w:sz="0" w:space="0" w:color="auto"/>
        <w:right w:val="none" w:sz="0" w:space="0" w:color="auto"/>
      </w:divBdr>
    </w:div>
    <w:div w:id="679477576">
      <w:bodyDiv w:val="1"/>
      <w:marLeft w:val="0"/>
      <w:marRight w:val="0"/>
      <w:marTop w:val="0"/>
      <w:marBottom w:val="0"/>
      <w:divBdr>
        <w:top w:val="none" w:sz="0" w:space="0" w:color="auto"/>
        <w:left w:val="none" w:sz="0" w:space="0" w:color="auto"/>
        <w:bottom w:val="none" w:sz="0" w:space="0" w:color="auto"/>
        <w:right w:val="none" w:sz="0" w:space="0" w:color="auto"/>
      </w:divBdr>
    </w:div>
    <w:div w:id="705253376">
      <w:bodyDiv w:val="1"/>
      <w:marLeft w:val="0"/>
      <w:marRight w:val="0"/>
      <w:marTop w:val="0"/>
      <w:marBottom w:val="0"/>
      <w:divBdr>
        <w:top w:val="none" w:sz="0" w:space="0" w:color="auto"/>
        <w:left w:val="none" w:sz="0" w:space="0" w:color="auto"/>
        <w:bottom w:val="none" w:sz="0" w:space="0" w:color="auto"/>
        <w:right w:val="none" w:sz="0" w:space="0" w:color="auto"/>
      </w:divBdr>
    </w:div>
    <w:div w:id="705905811">
      <w:bodyDiv w:val="1"/>
      <w:marLeft w:val="0"/>
      <w:marRight w:val="0"/>
      <w:marTop w:val="0"/>
      <w:marBottom w:val="0"/>
      <w:divBdr>
        <w:top w:val="none" w:sz="0" w:space="0" w:color="auto"/>
        <w:left w:val="none" w:sz="0" w:space="0" w:color="auto"/>
        <w:bottom w:val="none" w:sz="0" w:space="0" w:color="auto"/>
        <w:right w:val="none" w:sz="0" w:space="0" w:color="auto"/>
      </w:divBdr>
    </w:div>
    <w:div w:id="718433800">
      <w:bodyDiv w:val="1"/>
      <w:marLeft w:val="0"/>
      <w:marRight w:val="0"/>
      <w:marTop w:val="0"/>
      <w:marBottom w:val="0"/>
      <w:divBdr>
        <w:top w:val="none" w:sz="0" w:space="0" w:color="auto"/>
        <w:left w:val="none" w:sz="0" w:space="0" w:color="auto"/>
        <w:bottom w:val="none" w:sz="0" w:space="0" w:color="auto"/>
        <w:right w:val="none" w:sz="0" w:space="0" w:color="auto"/>
      </w:divBdr>
    </w:div>
    <w:div w:id="720640052">
      <w:bodyDiv w:val="1"/>
      <w:marLeft w:val="0"/>
      <w:marRight w:val="0"/>
      <w:marTop w:val="0"/>
      <w:marBottom w:val="0"/>
      <w:divBdr>
        <w:top w:val="none" w:sz="0" w:space="0" w:color="auto"/>
        <w:left w:val="none" w:sz="0" w:space="0" w:color="auto"/>
        <w:bottom w:val="none" w:sz="0" w:space="0" w:color="auto"/>
        <w:right w:val="none" w:sz="0" w:space="0" w:color="auto"/>
      </w:divBdr>
    </w:div>
    <w:div w:id="723986737">
      <w:bodyDiv w:val="1"/>
      <w:marLeft w:val="0"/>
      <w:marRight w:val="0"/>
      <w:marTop w:val="0"/>
      <w:marBottom w:val="0"/>
      <w:divBdr>
        <w:top w:val="none" w:sz="0" w:space="0" w:color="auto"/>
        <w:left w:val="none" w:sz="0" w:space="0" w:color="auto"/>
        <w:bottom w:val="none" w:sz="0" w:space="0" w:color="auto"/>
        <w:right w:val="none" w:sz="0" w:space="0" w:color="auto"/>
      </w:divBdr>
    </w:div>
    <w:div w:id="729962131">
      <w:bodyDiv w:val="1"/>
      <w:marLeft w:val="0"/>
      <w:marRight w:val="0"/>
      <w:marTop w:val="0"/>
      <w:marBottom w:val="0"/>
      <w:divBdr>
        <w:top w:val="none" w:sz="0" w:space="0" w:color="auto"/>
        <w:left w:val="none" w:sz="0" w:space="0" w:color="auto"/>
        <w:bottom w:val="none" w:sz="0" w:space="0" w:color="auto"/>
        <w:right w:val="none" w:sz="0" w:space="0" w:color="auto"/>
      </w:divBdr>
    </w:div>
    <w:div w:id="742416745">
      <w:bodyDiv w:val="1"/>
      <w:marLeft w:val="0"/>
      <w:marRight w:val="0"/>
      <w:marTop w:val="0"/>
      <w:marBottom w:val="0"/>
      <w:divBdr>
        <w:top w:val="none" w:sz="0" w:space="0" w:color="auto"/>
        <w:left w:val="none" w:sz="0" w:space="0" w:color="auto"/>
        <w:bottom w:val="none" w:sz="0" w:space="0" w:color="auto"/>
        <w:right w:val="none" w:sz="0" w:space="0" w:color="auto"/>
      </w:divBdr>
    </w:div>
    <w:div w:id="760833739">
      <w:bodyDiv w:val="1"/>
      <w:marLeft w:val="0"/>
      <w:marRight w:val="0"/>
      <w:marTop w:val="0"/>
      <w:marBottom w:val="0"/>
      <w:divBdr>
        <w:top w:val="none" w:sz="0" w:space="0" w:color="auto"/>
        <w:left w:val="none" w:sz="0" w:space="0" w:color="auto"/>
        <w:bottom w:val="none" w:sz="0" w:space="0" w:color="auto"/>
        <w:right w:val="none" w:sz="0" w:space="0" w:color="auto"/>
      </w:divBdr>
    </w:div>
    <w:div w:id="769400286">
      <w:bodyDiv w:val="1"/>
      <w:marLeft w:val="0"/>
      <w:marRight w:val="0"/>
      <w:marTop w:val="0"/>
      <w:marBottom w:val="0"/>
      <w:divBdr>
        <w:top w:val="none" w:sz="0" w:space="0" w:color="auto"/>
        <w:left w:val="none" w:sz="0" w:space="0" w:color="auto"/>
        <w:bottom w:val="none" w:sz="0" w:space="0" w:color="auto"/>
        <w:right w:val="none" w:sz="0" w:space="0" w:color="auto"/>
      </w:divBdr>
    </w:div>
    <w:div w:id="775366839">
      <w:bodyDiv w:val="1"/>
      <w:marLeft w:val="0"/>
      <w:marRight w:val="0"/>
      <w:marTop w:val="0"/>
      <w:marBottom w:val="0"/>
      <w:divBdr>
        <w:top w:val="none" w:sz="0" w:space="0" w:color="auto"/>
        <w:left w:val="none" w:sz="0" w:space="0" w:color="auto"/>
        <w:bottom w:val="none" w:sz="0" w:space="0" w:color="auto"/>
        <w:right w:val="none" w:sz="0" w:space="0" w:color="auto"/>
      </w:divBdr>
    </w:div>
    <w:div w:id="781463768">
      <w:bodyDiv w:val="1"/>
      <w:marLeft w:val="0"/>
      <w:marRight w:val="0"/>
      <w:marTop w:val="0"/>
      <w:marBottom w:val="0"/>
      <w:divBdr>
        <w:top w:val="none" w:sz="0" w:space="0" w:color="auto"/>
        <w:left w:val="none" w:sz="0" w:space="0" w:color="auto"/>
        <w:bottom w:val="none" w:sz="0" w:space="0" w:color="auto"/>
        <w:right w:val="none" w:sz="0" w:space="0" w:color="auto"/>
      </w:divBdr>
    </w:div>
    <w:div w:id="806581636">
      <w:bodyDiv w:val="1"/>
      <w:marLeft w:val="0"/>
      <w:marRight w:val="0"/>
      <w:marTop w:val="0"/>
      <w:marBottom w:val="0"/>
      <w:divBdr>
        <w:top w:val="none" w:sz="0" w:space="0" w:color="auto"/>
        <w:left w:val="none" w:sz="0" w:space="0" w:color="auto"/>
        <w:bottom w:val="none" w:sz="0" w:space="0" w:color="auto"/>
        <w:right w:val="none" w:sz="0" w:space="0" w:color="auto"/>
      </w:divBdr>
    </w:div>
    <w:div w:id="829708636">
      <w:bodyDiv w:val="1"/>
      <w:marLeft w:val="0"/>
      <w:marRight w:val="0"/>
      <w:marTop w:val="0"/>
      <w:marBottom w:val="0"/>
      <w:divBdr>
        <w:top w:val="none" w:sz="0" w:space="0" w:color="auto"/>
        <w:left w:val="none" w:sz="0" w:space="0" w:color="auto"/>
        <w:bottom w:val="none" w:sz="0" w:space="0" w:color="auto"/>
        <w:right w:val="none" w:sz="0" w:space="0" w:color="auto"/>
      </w:divBdr>
    </w:div>
    <w:div w:id="840390645">
      <w:bodyDiv w:val="1"/>
      <w:marLeft w:val="0"/>
      <w:marRight w:val="0"/>
      <w:marTop w:val="0"/>
      <w:marBottom w:val="0"/>
      <w:divBdr>
        <w:top w:val="none" w:sz="0" w:space="0" w:color="auto"/>
        <w:left w:val="none" w:sz="0" w:space="0" w:color="auto"/>
        <w:bottom w:val="none" w:sz="0" w:space="0" w:color="auto"/>
        <w:right w:val="none" w:sz="0" w:space="0" w:color="auto"/>
      </w:divBdr>
    </w:div>
    <w:div w:id="856314015">
      <w:bodyDiv w:val="1"/>
      <w:marLeft w:val="0"/>
      <w:marRight w:val="0"/>
      <w:marTop w:val="0"/>
      <w:marBottom w:val="0"/>
      <w:divBdr>
        <w:top w:val="none" w:sz="0" w:space="0" w:color="auto"/>
        <w:left w:val="none" w:sz="0" w:space="0" w:color="auto"/>
        <w:bottom w:val="none" w:sz="0" w:space="0" w:color="auto"/>
        <w:right w:val="none" w:sz="0" w:space="0" w:color="auto"/>
      </w:divBdr>
    </w:div>
    <w:div w:id="890574448">
      <w:bodyDiv w:val="1"/>
      <w:marLeft w:val="0"/>
      <w:marRight w:val="0"/>
      <w:marTop w:val="0"/>
      <w:marBottom w:val="0"/>
      <w:divBdr>
        <w:top w:val="none" w:sz="0" w:space="0" w:color="auto"/>
        <w:left w:val="none" w:sz="0" w:space="0" w:color="auto"/>
        <w:bottom w:val="none" w:sz="0" w:space="0" w:color="auto"/>
        <w:right w:val="none" w:sz="0" w:space="0" w:color="auto"/>
      </w:divBdr>
    </w:div>
    <w:div w:id="901477757">
      <w:bodyDiv w:val="1"/>
      <w:marLeft w:val="0"/>
      <w:marRight w:val="0"/>
      <w:marTop w:val="0"/>
      <w:marBottom w:val="0"/>
      <w:divBdr>
        <w:top w:val="none" w:sz="0" w:space="0" w:color="auto"/>
        <w:left w:val="none" w:sz="0" w:space="0" w:color="auto"/>
        <w:bottom w:val="none" w:sz="0" w:space="0" w:color="auto"/>
        <w:right w:val="none" w:sz="0" w:space="0" w:color="auto"/>
      </w:divBdr>
    </w:div>
    <w:div w:id="938560948">
      <w:bodyDiv w:val="1"/>
      <w:marLeft w:val="0"/>
      <w:marRight w:val="0"/>
      <w:marTop w:val="0"/>
      <w:marBottom w:val="0"/>
      <w:divBdr>
        <w:top w:val="none" w:sz="0" w:space="0" w:color="auto"/>
        <w:left w:val="none" w:sz="0" w:space="0" w:color="auto"/>
        <w:bottom w:val="none" w:sz="0" w:space="0" w:color="auto"/>
        <w:right w:val="none" w:sz="0" w:space="0" w:color="auto"/>
      </w:divBdr>
    </w:div>
    <w:div w:id="949161333">
      <w:bodyDiv w:val="1"/>
      <w:marLeft w:val="0"/>
      <w:marRight w:val="0"/>
      <w:marTop w:val="0"/>
      <w:marBottom w:val="0"/>
      <w:divBdr>
        <w:top w:val="none" w:sz="0" w:space="0" w:color="auto"/>
        <w:left w:val="none" w:sz="0" w:space="0" w:color="auto"/>
        <w:bottom w:val="none" w:sz="0" w:space="0" w:color="auto"/>
        <w:right w:val="none" w:sz="0" w:space="0" w:color="auto"/>
      </w:divBdr>
    </w:div>
    <w:div w:id="973413802">
      <w:bodyDiv w:val="1"/>
      <w:marLeft w:val="0"/>
      <w:marRight w:val="0"/>
      <w:marTop w:val="0"/>
      <w:marBottom w:val="0"/>
      <w:divBdr>
        <w:top w:val="none" w:sz="0" w:space="0" w:color="auto"/>
        <w:left w:val="none" w:sz="0" w:space="0" w:color="auto"/>
        <w:bottom w:val="none" w:sz="0" w:space="0" w:color="auto"/>
        <w:right w:val="none" w:sz="0" w:space="0" w:color="auto"/>
      </w:divBdr>
    </w:div>
    <w:div w:id="980040233">
      <w:bodyDiv w:val="1"/>
      <w:marLeft w:val="0"/>
      <w:marRight w:val="0"/>
      <w:marTop w:val="0"/>
      <w:marBottom w:val="0"/>
      <w:divBdr>
        <w:top w:val="none" w:sz="0" w:space="0" w:color="auto"/>
        <w:left w:val="none" w:sz="0" w:space="0" w:color="auto"/>
        <w:bottom w:val="none" w:sz="0" w:space="0" w:color="auto"/>
        <w:right w:val="none" w:sz="0" w:space="0" w:color="auto"/>
      </w:divBdr>
    </w:div>
    <w:div w:id="981957970">
      <w:bodyDiv w:val="1"/>
      <w:marLeft w:val="0"/>
      <w:marRight w:val="0"/>
      <w:marTop w:val="0"/>
      <w:marBottom w:val="0"/>
      <w:divBdr>
        <w:top w:val="none" w:sz="0" w:space="0" w:color="auto"/>
        <w:left w:val="none" w:sz="0" w:space="0" w:color="auto"/>
        <w:bottom w:val="none" w:sz="0" w:space="0" w:color="auto"/>
        <w:right w:val="none" w:sz="0" w:space="0" w:color="auto"/>
      </w:divBdr>
    </w:div>
    <w:div w:id="983313436">
      <w:bodyDiv w:val="1"/>
      <w:marLeft w:val="0"/>
      <w:marRight w:val="0"/>
      <w:marTop w:val="0"/>
      <w:marBottom w:val="0"/>
      <w:divBdr>
        <w:top w:val="none" w:sz="0" w:space="0" w:color="auto"/>
        <w:left w:val="none" w:sz="0" w:space="0" w:color="auto"/>
        <w:bottom w:val="none" w:sz="0" w:space="0" w:color="auto"/>
        <w:right w:val="none" w:sz="0" w:space="0" w:color="auto"/>
      </w:divBdr>
    </w:div>
    <w:div w:id="1001549455">
      <w:bodyDiv w:val="1"/>
      <w:marLeft w:val="0"/>
      <w:marRight w:val="0"/>
      <w:marTop w:val="0"/>
      <w:marBottom w:val="0"/>
      <w:divBdr>
        <w:top w:val="none" w:sz="0" w:space="0" w:color="auto"/>
        <w:left w:val="none" w:sz="0" w:space="0" w:color="auto"/>
        <w:bottom w:val="none" w:sz="0" w:space="0" w:color="auto"/>
        <w:right w:val="none" w:sz="0" w:space="0" w:color="auto"/>
      </w:divBdr>
    </w:div>
    <w:div w:id="1061907358">
      <w:bodyDiv w:val="1"/>
      <w:marLeft w:val="0"/>
      <w:marRight w:val="0"/>
      <w:marTop w:val="0"/>
      <w:marBottom w:val="0"/>
      <w:divBdr>
        <w:top w:val="none" w:sz="0" w:space="0" w:color="auto"/>
        <w:left w:val="none" w:sz="0" w:space="0" w:color="auto"/>
        <w:bottom w:val="none" w:sz="0" w:space="0" w:color="auto"/>
        <w:right w:val="none" w:sz="0" w:space="0" w:color="auto"/>
      </w:divBdr>
    </w:div>
    <w:div w:id="1064450593">
      <w:bodyDiv w:val="1"/>
      <w:marLeft w:val="0"/>
      <w:marRight w:val="0"/>
      <w:marTop w:val="0"/>
      <w:marBottom w:val="0"/>
      <w:divBdr>
        <w:top w:val="none" w:sz="0" w:space="0" w:color="auto"/>
        <w:left w:val="none" w:sz="0" w:space="0" w:color="auto"/>
        <w:bottom w:val="none" w:sz="0" w:space="0" w:color="auto"/>
        <w:right w:val="none" w:sz="0" w:space="0" w:color="auto"/>
      </w:divBdr>
    </w:div>
    <w:div w:id="1105420115">
      <w:bodyDiv w:val="1"/>
      <w:marLeft w:val="0"/>
      <w:marRight w:val="0"/>
      <w:marTop w:val="0"/>
      <w:marBottom w:val="0"/>
      <w:divBdr>
        <w:top w:val="none" w:sz="0" w:space="0" w:color="auto"/>
        <w:left w:val="none" w:sz="0" w:space="0" w:color="auto"/>
        <w:bottom w:val="none" w:sz="0" w:space="0" w:color="auto"/>
        <w:right w:val="none" w:sz="0" w:space="0" w:color="auto"/>
      </w:divBdr>
    </w:div>
    <w:div w:id="1110585164">
      <w:bodyDiv w:val="1"/>
      <w:marLeft w:val="0"/>
      <w:marRight w:val="0"/>
      <w:marTop w:val="0"/>
      <w:marBottom w:val="0"/>
      <w:divBdr>
        <w:top w:val="none" w:sz="0" w:space="0" w:color="auto"/>
        <w:left w:val="none" w:sz="0" w:space="0" w:color="auto"/>
        <w:bottom w:val="none" w:sz="0" w:space="0" w:color="auto"/>
        <w:right w:val="none" w:sz="0" w:space="0" w:color="auto"/>
      </w:divBdr>
      <w:divsChild>
        <w:div w:id="1009983415">
          <w:marLeft w:val="0"/>
          <w:marRight w:val="0"/>
          <w:marTop w:val="0"/>
          <w:marBottom w:val="0"/>
          <w:divBdr>
            <w:top w:val="none" w:sz="0" w:space="0" w:color="auto"/>
            <w:left w:val="none" w:sz="0" w:space="0" w:color="auto"/>
            <w:bottom w:val="none" w:sz="0" w:space="0" w:color="auto"/>
            <w:right w:val="none" w:sz="0" w:space="0" w:color="auto"/>
          </w:divBdr>
          <w:divsChild>
            <w:div w:id="1779448881">
              <w:marLeft w:val="0"/>
              <w:marRight w:val="0"/>
              <w:marTop w:val="0"/>
              <w:marBottom w:val="0"/>
              <w:divBdr>
                <w:top w:val="none" w:sz="0" w:space="0" w:color="auto"/>
                <w:left w:val="none" w:sz="0" w:space="0" w:color="auto"/>
                <w:bottom w:val="none" w:sz="0" w:space="0" w:color="auto"/>
                <w:right w:val="none" w:sz="0" w:space="0" w:color="auto"/>
              </w:divBdr>
              <w:divsChild>
                <w:div w:id="3577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3970">
      <w:bodyDiv w:val="1"/>
      <w:marLeft w:val="0"/>
      <w:marRight w:val="0"/>
      <w:marTop w:val="0"/>
      <w:marBottom w:val="0"/>
      <w:divBdr>
        <w:top w:val="none" w:sz="0" w:space="0" w:color="auto"/>
        <w:left w:val="none" w:sz="0" w:space="0" w:color="auto"/>
        <w:bottom w:val="none" w:sz="0" w:space="0" w:color="auto"/>
        <w:right w:val="none" w:sz="0" w:space="0" w:color="auto"/>
      </w:divBdr>
    </w:div>
    <w:div w:id="1168836301">
      <w:bodyDiv w:val="1"/>
      <w:marLeft w:val="0"/>
      <w:marRight w:val="0"/>
      <w:marTop w:val="0"/>
      <w:marBottom w:val="0"/>
      <w:divBdr>
        <w:top w:val="none" w:sz="0" w:space="0" w:color="auto"/>
        <w:left w:val="none" w:sz="0" w:space="0" w:color="auto"/>
        <w:bottom w:val="none" w:sz="0" w:space="0" w:color="auto"/>
        <w:right w:val="none" w:sz="0" w:space="0" w:color="auto"/>
      </w:divBdr>
      <w:divsChild>
        <w:div w:id="954754544">
          <w:marLeft w:val="0"/>
          <w:marRight w:val="0"/>
          <w:marTop w:val="0"/>
          <w:marBottom w:val="0"/>
          <w:divBdr>
            <w:top w:val="none" w:sz="0" w:space="0" w:color="auto"/>
            <w:left w:val="none" w:sz="0" w:space="0" w:color="auto"/>
            <w:bottom w:val="none" w:sz="0" w:space="0" w:color="auto"/>
            <w:right w:val="none" w:sz="0" w:space="0" w:color="auto"/>
          </w:divBdr>
          <w:divsChild>
            <w:div w:id="1501651489">
              <w:marLeft w:val="0"/>
              <w:marRight w:val="0"/>
              <w:marTop w:val="0"/>
              <w:marBottom w:val="0"/>
              <w:divBdr>
                <w:top w:val="none" w:sz="0" w:space="0" w:color="auto"/>
                <w:left w:val="none" w:sz="0" w:space="0" w:color="auto"/>
                <w:bottom w:val="none" w:sz="0" w:space="0" w:color="auto"/>
                <w:right w:val="none" w:sz="0" w:space="0" w:color="auto"/>
              </w:divBdr>
              <w:divsChild>
                <w:div w:id="15239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5736">
      <w:bodyDiv w:val="1"/>
      <w:marLeft w:val="0"/>
      <w:marRight w:val="0"/>
      <w:marTop w:val="0"/>
      <w:marBottom w:val="0"/>
      <w:divBdr>
        <w:top w:val="none" w:sz="0" w:space="0" w:color="auto"/>
        <w:left w:val="none" w:sz="0" w:space="0" w:color="auto"/>
        <w:bottom w:val="none" w:sz="0" w:space="0" w:color="auto"/>
        <w:right w:val="none" w:sz="0" w:space="0" w:color="auto"/>
      </w:divBdr>
      <w:divsChild>
        <w:div w:id="1074595059">
          <w:marLeft w:val="0"/>
          <w:marRight w:val="0"/>
          <w:marTop w:val="0"/>
          <w:marBottom w:val="0"/>
          <w:divBdr>
            <w:top w:val="none" w:sz="0" w:space="0" w:color="auto"/>
            <w:left w:val="none" w:sz="0" w:space="0" w:color="auto"/>
            <w:bottom w:val="none" w:sz="0" w:space="0" w:color="auto"/>
            <w:right w:val="none" w:sz="0" w:space="0" w:color="auto"/>
          </w:divBdr>
          <w:divsChild>
            <w:div w:id="1063336098">
              <w:marLeft w:val="0"/>
              <w:marRight w:val="0"/>
              <w:marTop w:val="0"/>
              <w:marBottom w:val="0"/>
              <w:divBdr>
                <w:top w:val="none" w:sz="0" w:space="0" w:color="auto"/>
                <w:left w:val="none" w:sz="0" w:space="0" w:color="auto"/>
                <w:bottom w:val="none" w:sz="0" w:space="0" w:color="auto"/>
                <w:right w:val="none" w:sz="0" w:space="0" w:color="auto"/>
              </w:divBdr>
              <w:divsChild>
                <w:div w:id="1692874831">
                  <w:marLeft w:val="0"/>
                  <w:marRight w:val="0"/>
                  <w:marTop w:val="0"/>
                  <w:marBottom w:val="0"/>
                  <w:divBdr>
                    <w:top w:val="none" w:sz="0" w:space="0" w:color="auto"/>
                    <w:left w:val="none" w:sz="0" w:space="0" w:color="auto"/>
                    <w:bottom w:val="none" w:sz="0" w:space="0" w:color="auto"/>
                    <w:right w:val="none" w:sz="0" w:space="0" w:color="auto"/>
                  </w:divBdr>
                  <w:divsChild>
                    <w:div w:id="1908299761">
                      <w:marLeft w:val="0"/>
                      <w:marRight w:val="0"/>
                      <w:marTop w:val="0"/>
                      <w:marBottom w:val="0"/>
                      <w:divBdr>
                        <w:top w:val="none" w:sz="0" w:space="0" w:color="auto"/>
                        <w:left w:val="none" w:sz="0" w:space="0" w:color="auto"/>
                        <w:bottom w:val="none" w:sz="0" w:space="0" w:color="auto"/>
                        <w:right w:val="none" w:sz="0" w:space="0" w:color="auto"/>
                      </w:divBdr>
                      <w:divsChild>
                        <w:div w:id="1200823364">
                          <w:marLeft w:val="0"/>
                          <w:marRight w:val="0"/>
                          <w:marTop w:val="0"/>
                          <w:marBottom w:val="0"/>
                          <w:divBdr>
                            <w:top w:val="none" w:sz="0" w:space="0" w:color="auto"/>
                            <w:left w:val="none" w:sz="0" w:space="0" w:color="auto"/>
                            <w:bottom w:val="none" w:sz="0" w:space="0" w:color="auto"/>
                            <w:right w:val="none" w:sz="0" w:space="0" w:color="auto"/>
                          </w:divBdr>
                          <w:divsChild>
                            <w:div w:id="1990208100">
                              <w:marLeft w:val="0"/>
                              <w:marRight w:val="0"/>
                              <w:marTop w:val="0"/>
                              <w:marBottom w:val="0"/>
                              <w:divBdr>
                                <w:top w:val="none" w:sz="0" w:space="0" w:color="auto"/>
                                <w:left w:val="none" w:sz="0" w:space="0" w:color="auto"/>
                                <w:bottom w:val="none" w:sz="0" w:space="0" w:color="auto"/>
                                <w:right w:val="none" w:sz="0" w:space="0" w:color="auto"/>
                              </w:divBdr>
                              <w:divsChild>
                                <w:div w:id="654605817">
                                  <w:marLeft w:val="0"/>
                                  <w:marRight w:val="0"/>
                                  <w:marTop w:val="0"/>
                                  <w:marBottom w:val="0"/>
                                  <w:divBdr>
                                    <w:top w:val="none" w:sz="0" w:space="0" w:color="auto"/>
                                    <w:left w:val="none" w:sz="0" w:space="0" w:color="auto"/>
                                    <w:bottom w:val="none" w:sz="0" w:space="0" w:color="auto"/>
                                    <w:right w:val="none" w:sz="0" w:space="0" w:color="auto"/>
                                  </w:divBdr>
                                  <w:divsChild>
                                    <w:div w:id="1903517140">
                                      <w:marLeft w:val="0"/>
                                      <w:marRight w:val="0"/>
                                      <w:marTop w:val="0"/>
                                      <w:marBottom w:val="0"/>
                                      <w:divBdr>
                                        <w:top w:val="none" w:sz="0" w:space="0" w:color="auto"/>
                                        <w:left w:val="none" w:sz="0" w:space="0" w:color="auto"/>
                                        <w:bottom w:val="none" w:sz="0" w:space="0" w:color="auto"/>
                                        <w:right w:val="none" w:sz="0" w:space="0" w:color="auto"/>
                                      </w:divBdr>
                                      <w:divsChild>
                                        <w:div w:id="1262100922">
                                          <w:marLeft w:val="0"/>
                                          <w:marRight w:val="0"/>
                                          <w:marTop w:val="0"/>
                                          <w:marBottom w:val="0"/>
                                          <w:divBdr>
                                            <w:top w:val="none" w:sz="0" w:space="0" w:color="auto"/>
                                            <w:left w:val="none" w:sz="0" w:space="0" w:color="auto"/>
                                            <w:bottom w:val="none" w:sz="0" w:space="0" w:color="auto"/>
                                            <w:right w:val="none" w:sz="0" w:space="0" w:color="auto"/>
                                          </w:divBdr>
                                          <w:divsChild>
                                            <w:div w:id="1809859057">
                                              <w:marLeft w:val="0"/>
                                              <w:marRight w:val="0"/>
                                              <w:marTop w:val="0"/>
                                              <w:marBottom w:val="0"/>
                                              <w:divBdr>
                                                <w:top w:val="none" w:sz="0" w:space="0" w:color="auto"/>
                                                <w:left w:val="none" w:sz="0" w:space="0" w:color="auto"/>
                                                <w:bottom w:val="none" w:sz="0" w:space="0" w:color="auto"/>
                                                <w:right w:val="none" w:sz="0" w:space="0" w:color="auto"/>
                                              </w:divBdr>
                                              <w:divsChild>
                                                <w:div w:id="1503741546">
                                                  <w:marLeft w:val="0"/>
                                                  <w:marRight w:val="0"/>
                                                  <w:marTop w:val="0"/>
                                                  <w:marBottom w:val="0"/>
                                                  <w:divBdr>
                                                    <w:top w:val="none" w:sz="0" w:space="0" w:color="auto"/>
                                                    <w:left w:val="none" w:sz="0" w:space="0" w:color="auto"/>
                                                    <w:bottom w:val="none" w:sz="0" w:space="0" w:color="auto"/>
                                                    <w:right w:val="none" w:sz="0" w:space="0" w:color="auto"/>
                                                  </w:divBdr>
                                                  <w:divsChild>
                                                    <w:div w:id="1731031274">
                                                      <w:marLeft w:val="0"/>
                                                      <w:marRight w:val="0"/>
                                                      <w:marTop w:val="0"/>
                                                      <w:marBottom w:val="0"/>
                                                      <w:divBdr>
                                                        <w:top w:val="none" w:sz="0" w:space="0" w:color="auto"/>
                                                        <w:left w:val="none" w:sz="0" w:space="0" w:color="auto"/>
                                                        <w:bottom w:val="none" w:sz="0" w:space="0" w:color="auto"/>
                                                        <w:right w:val="none" w:sz="0" w:space="0" w:color="auto"/>
                                                      </w:divBdr>
                                                      <w:divsChild>
                                                        <w:div w:id="1932155833">
                                                          <w:marLeft w:val="0"/>
                                                          <w:marRight w:val="0"/>
                                                          <w:marTop w:val="0"/>
                                                          <w:marBottom w:val="0"/>
                                                          <w:divBdr>
                                                            <w:top w:val="none" w:sz="0" w:space="0" w:color="auto"/>
                                                            <w:left w:val="none" w:sz="0" w:space="0" w:color="auto"/>
                                                            <w:bottom w:val="none" w:sz="0" w:space="0" w:color="auto"/>
                                                            <w:right w:val="none" w:sz="0" w:space="0" w:color="auto"/>
                                                          </w:divBdr>
                                                          <w:divsChild>
                                                            <w:div w:id="116071479">
                                                              <w:marLeft w:val="0"/>
                                                              <w:marRight w:val="0"/>
                                                              <w:marTop w:val="0"/>
                                                              <w:marBottom w:val="0"/>
                                                              <w:divBdr>
                                                                <w:top w:val="none" w:sz="0" w:space="0" w:color="auto"/>
                                                                <w:left w:val="none" w:sz="0" w:space="0" w:color="auto"/>
                                                                <w:bottom w:val="none" w:sz="0" w:space="0" w:color="auto"/>
                                                                <w:right w:val="none" w:sz="0" w:space="0" w:color="auto"/>
                                                              </w:divBdr>
                                                              <w:divsChild>
                                                                <w:div w:id="8726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267959">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206024637">
      <w:bodyDiv w:val="1"/>
      <w:marLeft w:val="0"/>
      <w:marRight w:val="0"/>
      <w:marTop w:val="0"/>
      <w:marBottom w:val="0"/>
      <w:divBdr>
        <w:top w:val="none" w:sz="0" w:space="0" w:color="auto"/>
        <w:left w:val="none" w:sz="0" w:space="0" w:color="auto"/>
        <w:bottom w:val="none" w:sz="0" w:space="0" w:color="auto"/>
        <w:right w:val="none" w:sz="0" w:space="0" w:color="auto"/>
      </w:divBdr>
    </w:div>
    <w:div w:id="1245147931">
      <w:bodyDiv w:val="1"/>
      <w:marLeft w:val="0"/>
      <w:marRight w:val="0"/>
      <w:marTop w:val="0"/>
      <w:marBottom w:val="0"/>
      <w:divBdr>
        <w:top w:val="none" w:sz="0" w:space="0" w:color="auto"/>
        <w:left w:val="none" w:sz="0" w:space="0" w:color="auto"/>
        <w:bottom w:val="none" w:sz="0" w:space="0" w:color="auto"/>
        <w:right w:val="none" w:sz="0" w:space="0" w:color="auto"/>
      </w:divBdr>
    </w:div>
    <w:div w:id="1252011279">
      <w:bodyDiv w:val="1"/>
      <w:marLeft w:val="0"/>
      <w:marRight w:val="0"/>
      <w:marTop w:val="0"/>
      <w:marBottom w:val="0"/>
      <w:divBdr>
        <w:top w:val="none" w:sz="0" w:space="0" w:color="auto"/>
        <w:left w:val="none" w:sz="0" w:space="0" w:color="auto"/>
        <w:bottom w:val="none" w:sz="0" w:space="0" w:color="auto"/>
        <w:right w:val="none" w:sz="0" w:space="0" w:color="auto"/>
      </w:divBdr>
    </w:div>
    <w:div w:id="1275669077">
      <w:bodyDiv w:val="1"/>
      <w:marLeft w:val="0"/>
      <w:marRight w:val="0"/>
      <w:marTop w:val="0"/>
      <w:marBottom w:val="0"/>
      <w:divBdr>
        <w:top w:val="none" w:sz="0" w:space="0" w:color="auto"/>
        <w:left w:val="none" w:sz="0" w:space="0" w:color="auto"/>
        <w:bottom w:val="none" w:sz="0" w:space="0" w:color="auto"/>
        <w:right w:val="none" w:sz="0" w:space="0" w:color="auto"/>
      </w:divBdr>
    </w:div>
    <w:div w:id="1312951421">
      <w:bodyDiv w:val="1"/>
      <w:marLeft w:val="0"/>
      <w:marRight w:val="0"/>
      <w:marTop w:val="0"/>
      <w:marBottom w:val="0"/>
      <w:divBdr>
        <w:top w:val="none" w:sz="0" w:space="0" w:color="auto"/>
        <w:left w:val="none" w:sz="0" w:space="0" w:color="auto"/>
        <w:bottom w:val="none" w:sz="0" w:space="0" w:color="auto"/>
        <w:right w:val="none" w:sz="0" w:space="0" w:color="auto"/>
      </w:divBdr>
    </w:div>
    <w:div w:id="1327630273">
      <w:bodyDiv w:val="1"/>
      <w:marLeft w:val="0"/>
      <w:marRight w:val="0"/>
      <w:marTop w:val="0"/>
      <w:marBottom w:val="0"/>
      <w:divBdr>
        <w:top w:val="none" w:sz="0" w:space="0" w:color="auto"/>
        <w:left w:val="none" w:sz="0" w:space="0" w:color="auto"/>
        <w:bottom w:val="none" w:sz="0" w:space="0" w:color="auto"/>
        <w:right w:val="none" w:sz="0" w:space="0" w:color="auto"/>
      </w:divBdr>
    </w:div>
    <w:div w:id="1355880837">
      <w:bodyDiv w:val="1"/>
      <w:marLeft w:val="0"/>
      <w:marRight w:val="0"/>
      <w:marTop w:val="0"/>
      <w:marBottom w:val="0"/>
      <w:divBdr>
        <w:top w:val="none" w:sz="0" w:space="0" w:color="auto"/>
        <w:left w:val="none" w:sz="0" w:space="0" w:color="auto"/>
        <w:bottom w:val="none" w:sz="0" w:space="0" w:color="auto"/>
        <w:right w:val="none" w:sz="0" w:space="0" w:color="auto"/>
      </w:divBdr>
    </w:div>
    <w:div w:id="1374768980">
      <w:bodyDiv w:val="1"/>
      <w:marLeft w:val="0"/>
      <w:marRight w:val="0"/>
      <w:marTop w:val="0"/>
      <w:marBottom w:val="0"/>
      <w:divBdr>
        <w:top w:val="none" w:sz="0" w:space="0" w:color="auto"/>
        <w:left w:val="none" w:sz="0" w:space="0" w:color="auto"/>
        <w:bottom w:val="none" w:sz="0" w:space="0" w:color="auto"/>
        <w:right w:val="none" w:sz="0" w:space="0" w:color="auto"/>
      </w:divBdr>
      <w:divsChild>
        <w:div w:id="1041175445">
          <w:marLeft w:val="0"/>
          <w:marRight w:val="0"/>
          <w:marTop w:val="0"/>
          <w:marBottom w:val="0"/>
          <w:divBdr>
            <w:top w:val="none" w:sz="0" w:space="0" w:color="auto"/>
            <w:left w:val="none" w:sz="0" w:space="0" w:color="auto"/>
            <w:bottom w:val="none" w:sz="0" w:space="0" w:color="auto"/>
            <w:right w:val="none" w:sz="0" w:space="0" w:color="auto"/>
          </w:divBdr>
          <w:divsChild>
            <w:div w:id="1634141760">
              <w:marLeft w:val="0"/>
              <w:marRight w:val="0"/>
              <w:marTop w:val="0"/>
              <w:marBottom w:val="0"/>
              <w:divBdr>
                <w:top w:val="none" w:sz="0" w:space="0" w:color="auto"/>
                <w:left w:val="none" w:sz="0" w:space="0" w:color="auto"/>
                <w:bottom w:val="none" w:sz="0" w:space="0" w:color="auto"/>
                <w:right w:val="none" w:sz="0" w:space="0" w:color="auto"/>
              </w:divBdr>
              <w:divsChild>
                <w:div w:id="20545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8908">
      <w:bodyDiv w:val="1"/>
      <w:marLeft w:val="0"/>
      <w:marRight w:val="0"/>
      <w:marTop w:val="0"/>
      <w:marBottom w:val="0"/>
      <w:divBdr>
        <w:top w:val="none" w:sz="0" w:space="0" w:color="auto"/>
        <w:left w:val="none" w:sz="0" w:space="0" w:color="auto"/>
        <w:bottom w:val="none" w:sz="0" w:space="0" w:color="auto"/>
        <w:right w:val="none" w:sz="0" w:space="0" w:color="auto"/>
      </w:divBdr>
    </w:div>
    <w:div w:id="1454130648">
      <w:bodyDiv w:val="1"/>
      <w:marLeft w:val="0"/>
      <w:marRight w:val="0"/>
      <w:marTop w:val="0"/>
      <w:marBottom w:val="0"/>
      <w:divBdr>
        <w:top w:val="none" w:sz="0" w:space="0" w:color="auto"/>
        <w:left w:val="none" w:sz="0" w:space="0" w:color="auto"/>
        <w:bottom w:val="none" w:sz="0" w:space="0" w:color="auto"/>
        <w:right w:val="none" w:sz="0" w:space="0" w:color="auto"/>
      </w:divBdr>
    </w:div>
    <w:div w:id="1457990643">
      <w:bodyDiv w:val="1"/>
      <w:marLeft w:val="0"/>
      <w:marRight w:val="0"/>
      <w:marTop w:val="0"/>
      <w:marBottom w:val="0"/>
      <w:divBdr>
        <w:top w:val="none" w:sz="0" w:space="0" w:color="auto"/>
        <w:left w:val="none" w:sz="0" w:space="0" w:color="auto"/>
        <w:bottom w:val="none" w:sz="0" w:space="0" w:color="auto"/>
        <w:right w:val="none" w:sz="0" w:space="0" w:color="auto"/>
      </w:divBdr>
    </w:div>
    <w:div w:id="1487822710">
      <w:bodyDiv w:val="1"/>
      <w:marLeft w:val="0"/>
      <w:marRight w:val="0"/>
      <w:marTop w:val="0"/>
      <w:marBottom w:val="0"/>
      <w:divBdr>
        <w:top w:val="none" w:sz="0" w:space="0" w:color="auto"/>
        <w:left w:val="none" w:sz="0" w:space="0" w:color="auto"/>
        <w:bottom w:val="none" w:sz="0" w:space="0" w:color="auto"/>
        <w:right w:val="none" w:sz="0" w:space="0" w:color="auto"/>
      </w:divBdr>
      <w:divsChild>
        <w:div w:id="966203102">
          <w:marLeft w:val="360"/>
          <w:marRight w:val="0"/>
          <w:marTop w:val="0"/>
          <w:marBottom w:val="0"/>
          <w:divBdr>
            <w:top w:val="none" w:sz="0" w:space="0" w:color="auto"/>
            <w:left w:val="none" w:sz="0" w:space="0" w:color="auto"/>
            <w:bottom w:val="none" w:sz="0" w:space="0" w:color="auto"/>
            <w:right w:val="none" w:sz="0" w:space="0" w:color="auto"/>
          </w:divBdr>
        </w:div>
      </w:divsChild>
    </w:div>
    <w:div w:id="1494493935">
      <w:bodyDiv w:val="1"/>
      <w:marLeft w:val="0"/>
      <w:marRight w:val="0"/>
      <w:marTop w:val="0"/>
      <w:marBottom w:val="0"/>
      <w:divBdr>
        <w:top w:val="none" w:sz="0" w:space="0" w:color="auto"/>
        <w:left w:val="none" w:sz="0" w:space="0" w:color="auto"/>
        <w:bottom w:val="none" w:sz="0" w:space="0" w:color="auto"/>
        <w:right w:val="none" w:sz="0" w:space="0" w:color="auto"/>
      </w:divBdr>
    </w:div>
    <w:div w:id="1548450458">
      <w:bodyDiv w:val="1"/>
      <w:marLeft w:val="0"/>
      <w:marRight w:val="0"/>
      <w:marTop w:val="0"/>
      <w:marBottom w:val="0"/>
      <w:divBdr>
        <w:top w:val="none" w:sz="0" w:space="0" w:color="auto"/>
        <w:left w:val="none" w:sz="0" w:space="0" w:color="auto"/>
        <w:bottom w:val="none" w:sz="0" w:space="0" w:color="auto"/>
        <w:right w:val="none" w:sz="0" w:space="0" w:color="auto"/>
      </w:divBdr>
    </w:div>
    <w:div w:id="1562475033">
      <w:bodyDiv w:val="1"/>
      <w:marLeft w:val="0"/>
      <w:marRight w:val="0"/>
      <w:marTop w:val="0"/>
      <w:marBottom w:val="0"/>
      <w:divBdr>
        <w:top w:val="none" w:sz="0" w:space="0" w:color="auto"/>
        <w:left w:val="none" w:sz="0" w:space="0" w:color="auto"/>
        <w:bottom w:val="none" w:sz="0" w:space="0" w:color="auto"/>
        <w:right w:val="none" w:sz="0" w:space="0" w:color="auto"/>
      </w:divBdr>
    </w:div>
    <w:div w:id="1581984751">
      <w:bodyDiv w:val="1"/>
      <w:marLeft w:val="0"/>
      <w:marRight w:val="0"/>
      <w:marTop w:val="0"/>
      <w:marBottom w:val="0"/>
      <w:divBdr>
        <w:top w:val="none" w:sz="0" w:space="0" w:color="auto"/>
        <w:left w:val="none" w:sz="0" w:space="0" w:color="auto"/>
        <w:bottom w:val="none" w:sz="0" w:space="0" w:color="auto"/>
        <w:right w:val="none" w:sz="0" w:space="0" w:color="auto"/>
      </w:divBdr>
    </w:div>
    <w:div w:id="1616789594">
      <w:bodyDiv w:val="1"/>
      <w:marLeft w:val="0"/>
      <w:marRight w:val="0"/>
      <w:marTop w:val="0"/>
      <w:marBottom w:val="0"/>
      <w:divBdr>
        <w:top w:val="none" w:sz="0" w:space="0" w:color="auto"/>
        <w:left w:val="none" w:sz="0" w:space="0" w:color="auto"/>
        <w:bottom w:val="none" w:sz="0" w:space="0" w:color="auto"/>
        <w:right w:val="none" w:sz="0" w:space="0" w:color="auto"/>
      </w:divBdr>
    </w:div>
    <w:div w:id="1636448206">
      <w:bodyDiv w:val="1"/>
      <w:marLeft w:val="0"/>
      <w:marRight w:val="0"/>
      <w:marTop w:val="0"/>
      <w:marBottom w:val="0"/>
      <w:divBdr>
        <w:top w:val="none" w:sz="0" w:space="0" w:color="auto"/>
        <w:left w:val="none" w:sz="0" w:space="0" w:color="auto"/>
        <w:bottom w:val="none" w:sz="0" w:space="0" w:color="auto"/>
        <w:right w:val="none" w:sz="0" w:space="0" w:color="auto"/>
      </w:divBdr>
    </w:div>
    <w:div w:id="1645234867">
      <w:bodyDiv w:val="1"/>
      <w:marLeft w:val="0"/>
      <w:marRight w:val="0"/>
      <w:marTop w:val="0"/>
      <w:marBottom w:val="0"/>
      <w:divBdr>
        <w:top w:val="none" w:sz="0" w:space="0" w:color="auto"/>
        <w:left w:val="none" w:sz="0" w:space="0" w:color="auto"/>
        <w:bottom w:val="none" w:sz="0" w:space="0" w:color="auto"/>
        <w:right w:val="none" w:sz="0" w:space="0" w:color="auto"/>
      </w:divBdr>
    </w:div>
    <w:div w:id="1668633800">
      <w:bodyDiv w:val="1"/>
      <w:marLeft w:val="0"/>
      <w:marRight w:val="0"/>
      <w:marTop w:val="0"/>
      <w:marBottom w:val="0"/>
      <w:divBdr>
        <w:top w:val="none" w:sz="0" w:space="0" w:color="auto"/>
        <w:left w:val="none" w:sz="0" w:space="0" w:color="auto"/>
        <w:bottom w:val="none" w:sz="0" w:space="0" w:color="auto"/>
        <w:right w:val="none" w:sz="0" w:space="0" w:color="auto"/>
      </w:divBdr>
      <w:divsChild>
        <w:div w:id="1918051023">
          <w:marLeft w:val="432"/>
          <w:marRight w:val="0"/>
          <w:marTop w:val="0"/>
          <w:marBottom w:val="0"/>
          <w:divBdr>
            <w:top w:val="none" w:sz="0" w:space="0" w:color="auto"/>
            <w:left w:val="none" w:sz="0" w:space="0" w:color="auto"/>
            <w:bottom w:val="none" w:sz="0" w:space="0" w:color="auto"/>
            <w:right w:val="none" w:sz="0" w:space="0" w:color="auto"/>
          </w:divBdr>
        </w:div>
      </w:divsChild>
    </w:div>
    <w:div w:id="1670012450">
      <w:bodyDiv w:val="1"/>
      <w:marLeft w:val="0"/>
      <w:marRight w:val="0"/>
      <w:marTop w:val="0"/>
      <w:marBottom w:val="0"/>
      <w:divBdr>
        <w:top w:val="none" w:sz="0" w:space="0" w:color="auto"/>
        <w:left w:val="none" w:sz="0" w:space="0" w:color="auto"/>
        <w:bottom w:val="none" w:sz="0" w:space="0" w:color="auto"/>
        <w:right w:val="none" w:sz="0" w:space="0" w:color="auto"/>
      </w:divBdr>
    </w:div>
    <w:div w:id="1701472776">
      <w:bodyDiv w:val="1"/>
      <w:marLeft w:val="0"/>
      <w:marRight w:val="0"/>
      <w:marTop w:val="0"/>
      <w:marBottom w:val="0"/>
      <w:divBdr>
        <w:top w:val="none" w:sz="0" w:space="0" w:color="auto"/>
        <w:left w:val="none" w:sz="0" w:space="0" w:color="auto"/>
        <w:bottom w:val="none" w:sz="0" w:space="0" w:color="auto"/>
        <w:right w:val="none" w:sz="0" w:space="0" w:color="auto"/>
      </w:divBdr>
    </w:div>
    <w:div w:id="1736316771">
      <w:bodyDiv w:val="1"/>
      <w:marLeft w:val="0"/>
      <w:marRight w:val="0"/>
      <w:marTop w:val="0"/>
      <w:marBottom w:val="0"/>
      <w:divBdr>
        <w:top w:val="none" w:sz="0" w:space="0" w:color="auto"/>
        <w:left w:val="none" w:sz="0" w:space="0" w:color="auto"/>
        <w:bottom w:val="none" w:sz="0" w:space="0" w:color="auto"/>
        <w:right w:val="none" w:sz="0" w:space="0" w:color="auto"/>
      </w:divBdr>
    </w:div>
    <w:div w:id="1738892371">
      <w:bodyDiv w:val="1"/>
      <w:marLeft w:val="0"/>
      <w:marRight w:val="0"/>
      <w:marTop w:val="0"/>
      <w:marBottom w:val="0"/>
      <w:divBdr>
        <w:top w:val="none" w:sz="0" w:space="0" w:color="auto"/>
        <w:left w:val="none" w:sz="0" w:space="0" w:color="auto"/>
        <w:bottom w:val="none" w:sz="0" w:space="0" w:color="auto"/>
        <w:right w:val="none" w:sz="0" w:space="0" w:color="auto"/>
      </w:divBdr>
    </w:div>
    <w:div w:id="1744987068">
      <w:bodyDiv w:val="1"/>
      <w:marLeft w:val="0"/>
      <w:marRight w:val="0"/>
      <w:marTop w:val="0"/>
      <w:marBottom w:val="0"/>
      <w:divBdr>
        <w:top w:val="none" w:sz="0" w:space="0" w:color="auto"/>
        <w:left w:val="none" w:sz="0" w:space="0" w:color="auto"/>
        <w:bottom w:val="none" w:sz="0" w:space="0" w:color="auto"/>
        <w:right w:val="none" w:sz="0" w:space="0" w:color="auto"/>
      </w:divBdr>
    </w:div>
    <w:div w:id="1749419229">
      <w:bodyDiv w:val="1"/>
      <w:marLeft w:val="0"/>
      <w:marRight w:val="0"/>
      <w:marTop w:val="0"/>
      <w:marBottom w:val="0"/>
      <w:divBdr>
        <w:top w:val="none" w:sz="0" w:space="0" w:color="auto"/>
        <w:left w:val="none" w:sz="0" w:space="0" w:color="auto"/>
        <w:bottom w:val="none" w:sz="0" w:space="0" w:color="auto"/>
        <w:right w:val="none" w:sz="0" w:space="0" w:color="auto"/>
      </w:divBdr>
    </w:div>
    <w:div w:id="1783918544">
      <w:bodyDiv w:val="1"/>
      <w:marLeft w:val="0"/>
      <w:marRight w:val="0"/>
      <w:marTop w:val="0"/>
      <w:marBottom w:val="0"/>
      <w:divBdr>
        <w:top w:val="none" w:sz="0" w:space="0" w:color="auto"/>
        <w:left w:val="none" w:sz="0" w:space="0" w:color="auto"/>
        <w:bottom w:val="none" w:sz="0" w:space="0" w:color="auto"/>
        <w:right w:val="none" w:sz="0" w:space="0" w:color="auto"/>
      </w:divBdr>
    </w:div>
    <w:div w:id="1784112389">
      <w:bodyDiv w:val="1"/>
      <w:marLeft w:val="0"/>
      <w:marRight w:val="0"/>
      <w:marTop w:val="0"/>
      <w:marBottom w:val="0"/>
      <w:divBdr>
        <w:top w:val="none" w:sz="0" w:space="0" w:color="auto"/>
        <w:left w:val="none" w:sz="0" w:space="0" w:color="auto"/>
        <w:bottom w:val="none" w:sz="0" w:space="0" w:color="auto"/>
        <w:right w:val="none" w:sz="0" w:space="0" w:color="auto"/>
      </w:divBdr>
    </w:div>
    <w:div w:id="1823961494">
      <w:bodyDiv w:val="1"/>
      <w:marLeft w:val="0"/>
      <w:marRight w:val="0"/>
      <w:marTop w:val="0"/>
      <w:marBottom w:val="0"/>
      <w:divBdr>
        <w:top w:val="none" w:sz="0" w:space="0" w:color="auto"/>
        <w:left w:val="none" w:sz="0" w:space="0" w:color="auto"/>
        <w:bottom w:val="none" w:sz="0" w:space="0" w:color="auto"/>
        <w:right w:val="none" w:sz="0" w:space="0" w:color="auto"/>
      </w:divBdr>
    </w:div>
    <w:div w:id="1871841650">
      <w:bodyDiv w:val="1"/>
      <w:marLeft w:val="0"/>
      <w:marRight w:val="0"/>
      <w:marTop w:val="0"/>
      <w:marBottom w:val="0"/>
      <w:divBdr>
        <w:top w:val="none" w:sz="0" w:space="0" w:color="auto"/>
        <w:left w:val="none" w:sz="0" w:space="0" w:color="auto"/>
        <w:bottom w:val="none" w:sz="0" w:space="0" w:color="auto"/>
        <w:right w:val="none" w:sz="0" w:space="0" w:color="auto"/>
      </w:divBdr>
    </w:div>
    <w:div w:id="1888494781">
      <w:bodyDiv w:val="1"/>
      <w:marLeft w:val="0"/>
      <w:marRight w:val="0"/>
      <w:marTop w:val="0"/>
      <w:marBottom w:val="0"/>
      <w:divBdr>
        <w:top w:val="none" w:sz="0" w:space="0" w:color="auto"/>
        <w:left w:val="none" w:sz="0" w:space="0" w:color="auto"/>
        <w:bottom w:val="none" w:sz="0" w:space="0" w:color="auto"/>
        <w:right w:val="none" w:sz="0" w:space="0" w:color="auto"/>
      </w:divBdr>
    </w:div>
    <w:div w:id="1910310430">
      <w:bodyDiv w:val="1"/>
      <w:marLeft w:val="0"/>
      <w:marRight w:val="0"/>
      <w:marTop w:val="0"/>
      <w:marBottom w:val="0"/>
      <w:divBdr>
        <w:top w:val="none" w:sz="0" w:space="0" w:color="auto"/>
        <w:left w:val="none" w:sz="0" w:space="0" w:color="auto"/>
        <w:bottom w:val="none" w:sz="0" w:space="0" w:color="auto"/>
        <w:right w:val="none" w:sz="0" w:space="0" w:color="auto"/>
      </w:divBdr>
    </w:div>
    <w:div w:id="1923678403">
      <w:bodyDiv w:val="1"/>
      <w:marLeft w:val="0"/>
      <w:marRight w:val="0"/>
      <w:marTop w:val="0"/>
      <w:marBottom w:val="0"/>
      <w:divBdr>
        <w:top w:val="none" w:sz="0" w:space="0" w:color="auto"/>
        <w:left w:val="none" w:sz="0" w:space="0" w:color="auto"/>
        <w:bottom w:val="none" w:sz="0" w:space="0" w:color="auto"/>
        <w:right w:val="none" w:sz="0" w:space="0" w:color="auto"/>
      </w:divBdr>
    </w:div>
    <w:div w:id="1983845874">
      <w:bodyDiv w:val="1"/>
      <w:marLeft w:val="0"/>
      <w:marRight w:val="0"/>
      <w:marTop w:val="0"/>
      <w:marBottom w:val="0"/>
      <w:divBdr>
        <w:top w:val="none" w:sz="0" w:space="0" w:color="auto"/>
        <w:left w:val="none" w:sz="0" w:space="0" w:color="auto"/>
        <w:bottom w:val="none" w:sz="0" w:space="0" w:color="auto"/>
        <w:right w:val="none" w:sz="0" w:space="0" w:color="auto"/>
      </w:divBdr>
    </w:div>
    <w:div w:id="1989360207">
      <w:bodyDiv w:val="1"/>
      <w:marLeft w:val="0"/>
      <w:marRight w:val="0"/>
      <w:marTop w:val="0"/>
      <w:marBottom w:val="0"/>
      <w:divBdr>
        <w:top w:val="none" w:sz="0" w:space="0" w:color="auto"/>
        <w:left w:val="none" w:sz="0" w:space="0" w:color="auto"/>
        <w:bottom w:val="none" w:sz="0" w:space="0" w:color="auto"/>
        <w:right w:val="none" w:sz="0" w:space="0" w:color="auto"/>
      </w:divBdr>
    </w:div>
    <w:div w:id="2013071749">
      <w:bodyDiv w:val="1"/>
      <w:marLeft w:val="0"/>
      <w:marRight w:val="0"/>
      <w:marTop w:val="0"/>
      <w:marBottom w:val="0"/>
      <w:divBdr>
        <w:top w:val="none" w:sz="0" w:space="0" w:color="auto"/>
        <w:left w:val="none" w:sz="0" w:space="0" w:color="auto"/>
        <w:bottom w:val="none" w:sz="0" w:space="0" w:color="auto"/>
        <w:right w:val="none" w:sz="0" w:space="0" w:color="auto"/>
      </w:divBdr>
    </w:div>
    <w:div w:id="2027904703">
      <w:bodyDiv w:val="1"/>
      <w:marLeft w:val="0"/>
      <w:marRight w:val="0"/>
      <w:marTop w:val="0"/>
      <w:marBottom w:val="0"/>
      <w:divBdr>
        <w:top w:val="none" w:sz="0" w:space="0" w:color="auto"/>
        <w:left w:val="none" w:sz="0" w:space="0" w:color="auto"/>
        <w:bottom w:val="none" w:sz="0" w:space="0" w:color="auto"/>
        <w:right w:val="none" w:sz="0" w:space="0" w:color="auto"/>
      </w:divBdr>
    </w:div>
    <w:div w:id="2028167888">
      <w:bodyDiv w:val="1"/>
      <w:marLeft w:val="0"/>
      <w:marRight w:val="0"/>
      <w:marTop w:val="0"/>
      <w:marBottom w:val="0"/>
      <w:divBdr>
        <w:top w:val="none" w:sz="0" w:space="0" w:color="auto"/>
        <w:left w:val="none" w:sz="0" w:space="0" w:color="auto"/>
        <w:bottom w:val="none" w:sz="0" w:space="0" w:color="auto"/>
        <w:right w:val="none" w:sz="0" w:space="0" w:color="auto"/>
      </w:divBdr>
    </w:div>
    <w:div w:id="2073963002">
      <w:bodyDiv w:val="1"/>
      <w:marLeft w:val="0"/>
      <w:marRight w:val="0"/>
      <w:marTop w:val="0"/>
      <w:marBottom w:val="0"/>
      <w:divBdr>
        <w:top w:val="none" w:sz="0" w:space="0" w:color="auto"/>
        <w:left w:val="none" w:sz="0" w:space="0" w:color="auto"/>
        <w:bottom w:val="none" w:sz="0" w:space="0" w:color="auto"/>
        <w:right w:val="none" w:sz="0" w:space="0" w:color="auto"/>
      </w:divBdr>
    </w:div>
    <w:div w:id="2089187359">
      <w:bodyDiv w:val="1"/>
      <w:marLeft w:val="0"/>
      <w:marRight w:val="0"/>
      <w:marTop w:val="0"/>
      <w:marBottom w:val="0"/>
      <w:divBdr>
        <w:top w:val="none" w:sz="0" w:space="0" w:color="auto"/>
        <w:left w:val="none" w:sz="0" w:space="0" w:color="auto"/>
        <w:bottom w:val="none" w:sz="0" w:space="0" w:color="auto"/>
        <w:right w:val="none" w:sz="0" w:space="0" w:color="auto"/>
      </w:divBdr>
    </w:div>
    <w:div w:id="2118137470">
      <w:bodyDiv w:val="1"/>
      <w:marLeft w:val="0"/>
      <w:marRight w:val="0"/>
      <w:marTop w:val="0"/>
      <w:marBottom w:val="0"/>
      <w:divBdr>
        <w:top w:val="none" w:sz="0" w:space="0" w:color="auto"/>
        <w:left w:val="none" w:sz="0" w:space="0" w:color="auto"/>
        <w:bottom w:val="none" w:sz="0" w:space="0" w:color="auto"/>
        <w:right w:val="none" w:sz="0" w:space="0" w:color="auto"/>
      </w:divBdr>
      <w:divsChild>
        <w:div w:id="918708945">
          <w:marLeft w:val="0"/>
          <w:marRight w:val="0"/>
          <w:marTop w:val="0"/>
          <w:marBottom w:val="0"/>
          <w:divBdr>
            <w:top w:val="none" w:sz="0" w:space="0" w:color="auto"/>
            <w:left w:val="none" w:sz="0" w:space="0" w:color="auto"/>
            <w:bottom w:val="none" w:sz="0" w:space="0" w:color="auto"/>
            <w:right w:val="none" w:sz="0" w:space="0" w:color="auto"/>
          </w:divBdr>
          <w:divsChild>
            <w:div w:id="1632975123">
              <w:marLeft w:val="0"/>
              <w:marRight w:val="0"/>
              <w:marTop w:val="0"/>
              <w:marBottom w:val="0"/>
              <w:divBdr>
                <w:top w:val="none" w:sz="0" w:space="0" w:color="auto"/>
                <w:left w:val="none" w:sz="0" w:space="0" w:color="auto"/>
                <w:bottom w:val="none" w:sz="0" w:space="0" w:color="auto"/>
                <w:right w:val="none" w:sz="0" w:space="0" w:color="auto"/>
              </w:divBdr>
              <w:divsChild>
                <w:div w:id="1981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ace.com/Investors/financial-results-and-reports" TargetMode="External"/><Relationship Id="rId13" Type="http://schemas.openxmlformats.org/officeDocument/2006/relationships/hyperlink" Target="http://www.cofa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face.com/Inves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oit.chastel@cofac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homas.jacquet@coface.com" TargetMode="External"/><Relationship Id="rId4" Type="http://schemas.openxmlformats.org/officeDocument/2006/relationships/settings" Target="settings.xml"/><Relationship Id="rId9" Type="http://schemas.openxmlformats.org/officeDocument/2006/relationships/hyperlink" Target="mailto:saphia.gaouaoui@coface.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w Coface 2017">
  <a:themeElements>
    <a:clrScheme name="New Coface 2017">
      <a:dk1>
        <a:srgbClr val="03365F"/>
      </a:dk1>
      <a:lt1>
        <a:srgbClr val="FFFFFF"/>
      </a:lt1>
      <a:dk2>
        <a:srgbClr val="18B3B9"/>
      </a:dk2>
      <a:lt2>
        <a:srgbClr val="C40070"/>
      </a:lt2>
      <a:accent1>
        <a:srgbClr val="61B57C"/>
      </a:accent1>
      <a:accent2>
        <a:srgbClr val="03365F"/>
      </a:accent2>
      <a:accent3>
        <a:srgbClr val="E06E2B"/>
      </a:accent3>
      <a:accent4>
        <a:srgbClr val="ED4447"/>
      </a:accent4>
      <a:accent5>
        <a:srgbClr val="4BACC6"/>
      </a:accent5>
      <a:accent6>
        <a:srgbClr val="F79646"/>
      </a:accent6>
      <a:hlink>
        <a:srgbClr val="0000FF"/>
      </a:hlink>
      <a:folHlink>
        <a:srgbClr val="800080"/>
      </a:folHlink>
    </a:clrScheme>
    <a:fontScheme name="Coface 1">
      <a:majorFont>
        <a:latin typeface="Cambria"/>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CD7F-4346-4E9E-9CFE-53967DAD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2786</Words>
  <Characters>15883</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Paris, 21 janvier 2013</vt:lpstr>
    </vt:vector>
  </TitlesOfParts>
  <Company>Coface</Company>
  <LinksUpToDate>false</LinksUpToDate>
  <CharactersWithSpaces>18632</CharactersWithSpaces>
  <SharedDoc>false</SharedDoc>
  <HLinks>
    <vt:vector size="24" baseType="variant">
      <vt:variant>
        <vt:i4>2293813</vt:i4>
      </vt:variant>
      <vt:variant>
        <vt:i4>15</vt:i4>
      </vt:variant>
      <vt:variant>
        <vt:i4>0</vt:i4>
      </vt:variant>
      <vt:variant>
        <vt:i4>5</vt:i4>
      </vt:variant>
      <vt:variant>
        <vt:lpwstr>http://www.coface.com/</vt:lpwstr>
      </vt:variant>
      <vt:variant>
        <vt:lpwstr/>
      </vt:variant>
      <vt:variant>
        <vt:i4>3473423</vt:i4>
      </vt:variant>
      <vt:variant>
        <vt:i4>12</vt:i4>
      </vt:variant>
      <vt:variant>
        <vt:i4>0</vt:i4>
      </vt:variant>
      <vt:variant>
        <vt:i4>5</vt:i4>
      </vt:variant>
      <vt:variant>
        <vt:lpwstr>mailto:investors@coface.com</vt:lpwstr>
      </vt:variant>
      <vt:variant>
        <vt:lpwstr/>
      </vt:variant>
      <vt:variant>
        <vt:i4>2621512</vt:i4>
      </vt:variant>
      <vt:variant>
        <vt:i4>9</vt:i4>
      </vt:variant>
      <vt:variant>
        <vt:i4>0</vt:i4>
      </vt:variant>
      <vt:variant>
        <vt:i4>5</vt:i4>
      </vt:variant>
      <vt:variant>
        <vt:lpwstr>mailto:maria.krellenstein@coface.com</vt:lpwstr>
      </vt:variant>
      <vt:variant>
        <vt:lpwstr/>
      </vt:variant>
      <vt:variant>
        <vt:i4>655472</vt:i4>
      </vt:variant>
      <vt:variant>
        <vt:i4>6</vt:i4>
      </vt:variant>
      <vt:variant>
        <vt:i4>0</vt:i4>
      </vt:variant>
      <vt:variant>
        <vt:i4>5</vt:i4>
      </vt:variant>
      <vt:variant>
        <vt:lpwstr>mailto:monica.coull@coface.com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benoit.chastel@coface.com</dc:creator>
  <cp:lastModifiedBy>Benoit CHASTEL</cp:lastModifiedBy>
  <cp:revision>36</cp:revision>
  <cp:lastPrinted>2020-04-23T12:06:00Z</cp:lastPrinted>
  <dcterms:created xsi:type="dcterms:W3CDTF">2020-04-17T11:11:00Z</dcterms:created>
  <dcterms:modified xsi:type="dcterms:W3CDTF">2020-04-23T12:06:00Z</dcterms:modified>
</cp:coreProperties>
</file>